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905C5" w14:paraId="69B78686" w14:textId="77777777" w:rsidTr="003905C5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55A9AF50" w14:textId="77777777" w:rsidR="003905C5" w:rsidRDefault="003905C5" w:rsidP="003905C5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2" w:lineRule="auto"/>
              <w:jc w:val="center"/>
              <w:rPr>
                <w:b/>
                <w:sz w:val="24"/>
                <w:szCs w:val="24"/>
              </w:rPr>
            </w:pPr>
            <w:r w:rsidRPr="00420FF4">
              <w:rPr>
                <w:b/>
                <w:sz w:val="24"/>
                <w:szCs w:val="24"/>
              </w:rPr>
              <w:t>Osnovni podaci</w:t>
            </w:r>
          </w:p>
        </w:tc>
      </w:tr>
    </w:tbl>
    <w:p w14:paraId="40B0A330" w14:textId="77777777" w:rsidR="003905C5" w:rsidRDefault="003905C5" w:rsidP="003905C5">
      <w:pPr>
        <w:pStyle w:val="INormal"/>
        <w:rPr>
          <w:rFonts w:cs="Arial"/>
          <w:b/>
          <w:sz w:val="24"/>
          <w:szCs w:val="24"/>
          <w:lang w:val="la-Latn"/>
        </w:rPr>
      </w:pPr>
    </w:p>
    <w:p w14:paraId="5371407A" w14:textId="77777777" w:rsidR="00414273" w:rsidRPr="008C08A4" w:rsidRDefault="00414273" w:rsidP="00414273">
      <w:pPr>
        <w:pStyle w:val="INormal"/>
        <w:rPr>
          <w:sz w:val="24"/>
          <w:szCs w:val="24"/>
          <w:lang w:val="la-Latn"/>
        </w:rPr>
      </w:pPr>
      <w:r w:rsidRPr="008C08A4">
        <w:rPr>
          <w:b/>
          <w:sz w:val="24"/>
          <w:szCs w:val="24"/>
          <w:lang w:val="la-Latn"/>
        </w:rPr>
        <w:t>Službeni naziv</w:t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sz w:val="24"/>
          <w:szCs w:val="24"/>
          <w:lang w:val="la-Latn"/>
        </w:rPr>
        <w:t>Država Katar</w:t>
      </w:r>
    </w:p>
    <w:p w14:paraId="3AC37292" w14:textId="77777777" w:rsidR="00414273" w:rsidRPr="008C08A4" w:rsidRDefault="00414273" w:rsidP="00414273">
      <w:pPr>
        <w:pStyle w:val="INormal"/>
        <w:rPr>
          <w:b/>
          <w:sz w:val="24"/>
          <w:szCs w:val="24"/>
          <w:lang w:val="la-Latn"/>
        </w:rPr>
      </w:pPr>
      <w:r w:rsidRPr="008C08A4">
        <w:rPr>
          <w:b/>
          <w:sz w:val="24"/>
          <w:szCs w:val="24"/>
          <w:lang w:val="la-Latn"/>
        </w:rPr>
        <w:t xml:space="preserve">Glavni grad </w:t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sz w:val="24"/>
          <w:szCs w:val="24"/>
          <w:lang w:val="la-Latn"/>
        </w:rPr>
        <w:t>Doha</w:t>
      </w:r>
    </w:p>
    <w:p w14:paraId="770F143E" w14:textId="77777777" w:rsidR="00414273" w:rsidRPr="008C08A4" w:rsidRDefault="00414273" w:rsidP="00414273">
      <w:pPr>
        <w:pStyle w:val="INormal"/>
        <w:rPr>
          <w:sz w:val="24"/>
          <w:szCs w:val="24"/>
          <w:lang w:val="la-Latn"/>
        </w:rPr>
      </w:pPr>
      <w:r w:rsidRPr="008C08A4">
        <w:rPr>
          <w:b/>
          <w:sz w:val="24"/>
          <w:szCs w:val="24"/>
          <w:lang w:val="la-Latn"/>
        </w:rPr>
        <w:t>Površina</w:t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b/>
          <w:sz w:val="24"/>
          <w:szCs w:val="24"/>
          <w:lang w:val="la-Latn"/>
        </w:rPr>
        <w:tab/>
      </w:r>
      <w:r w:rsidR="001900FE" w:rsidRPr="008C08A4">
        <w:rPr>
          <w:sz w:val="24"/>
          <w:szCs w:val="24"/>
          <w:lang w:val="la-Latn"/>
        </w:rPr>
        <w:t xml:space="preserve">11 </w:t>
      </w:r>
      <w:r w:rsidRPr="008C08A4">
        <w:rPr>
          <w:sz w:val="24"/>
          <w:szCs w:val="24"/>
          <w:lang w:val="la-Latn"/>
        </w:rPr>
        <w:t>586</w:t>
      </w:r>
      <w:r w:rsidRPr="008C08A4">
        <w:rPr>
          <w:rStyle w:val="categorydata2"/>
          <w:lang w:val="la-Latn"/>
        </w:rPr>
        <w:t xml:space="preserve"> </w:t>
      </w:r>
      <w:r w:rsidRPr="008C08A4">
        <w:rPr>
          <w:sz w:val="24"/>
          <w:szCs w:val="24"/>
          <w:lang w:val="la-Latn"/>
        </w:rPr>
        <w:t>km</w:t>
      </w:r>
      <w:r w:rsidRPr="008C08A4">
        <w:rPr>
          <w:sz w:val="24"/>
          <w:szCs w:val="24"/>
          <w:vertAlign w:val="superscript"/>
          <w:lang w:val="la-Latn"/>
        </w:rPr>
        <w:t>2</w:t>
      </w:r>
    </w:p>
    <w:p w14:paraId="18887A20" w14:textId="77C57299" w:rsidR="00414273" w:rsidRPr="003430EC" w:rsidRDefault="00414273" w:rsidP="00414273">
      <w:pPr>
        <w:pStyle w:val="INormal"/>
        <w:rPr>
          <w:sz w:val="24"/>
          <w:szCs w:val="24"/>
          <w:lang w:val="hr-HR"/>
        </w:rPr>
      </w:pPr>
      <w:r w:rsidRPr="008C08A4">
        <w:rPr>
          <w:b/>
          <w:sz w:val="24"/>
          <w:szCs w:val="24"/>
          <w:lang w:val="la-Latn"/>
        </w:rPr>
        <w:t>Broj stanovnika</w:t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b/>
          <w:sz w:val="24"/>
          <w:szCs w:val="24"/>
          <w:lang w:val="la-Latn"/>
        </w:rPr>
        <w:tab/>
      </w:r>
      <w:r w:rsidR="00516D51">
        <w:rPr>
          <w:sz w:val="24"/>
          <w:szCs w:val="24"/>
          <w:lang w:val="hr-HR"/>
        </w:rPr>
        <w:t>3.125 milijuna</w:t>
      </w:r>
    </w:p>
    <w:p w14:paraId="46C1CACF" w14:textId="77777777" w:rsidR="00414273" w:rsidRPr="008C08A4" w:rsidRDefault="00414273" w:rsidP="00414273">
      <w:pPr>
        <w:pStyle w:val="INormal"/>
        <w:rPr>
          <w:sz w:val="24"/>
          <w:szCs w:val="24"/>
          <w:lang w:val="la-Latn"/>
        </w:rPr>
      </w:pPr>
      <w:r w:rsidRPr="008C08A4">
        <w:rPr>
          <w:b/>
          <w:sz w:val="24"/>
          <w:szCs w:val="24"/>
          <w:lang w:val="la-Latn"/>
        </w:rPr>
        <w:t>Službeni jezik</w:t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b/>
          <w:sz w:val="24"/>
          <w:szCs w:val="24"/>
          <w:lang w:val="la-Latn"/>
        </w:rPr>
        <w:tab/>
      </w:r>
      <w:r w:rsidRPr="008C08A4">
        <w:rPr>
          <w:sz w:val="24"/>
          <w:szCs w:val="24"/>
          <w:lang w:val="la-Latn"/>
        </w:rPr>
        <w:t xml:space="preserve">arapski </w:t>
      </w:r>
    </w:p>
    <w:p w14:paraId="138E2EFC" w14:textId="3A1E7187" w:rsidR="00414273" w:rsidRDefault="00414273" w:rsidP="00414273">
      <w:pPr>
        <w:pStyle w:val="INormal"/>
        <w:rPr>
          <w:sz w:val="24"/>
          <w:szCs w:val="24"/>
          <w:lang w:val="la-Latn"/>
        </w:rPr>
      </w:pPr>
      <w:r w:rsidRPr="008C08A4">
        <w:rPr>
          <w:b/>
          <w:sz w:val="24"/>
          <w:szCs w:val="24"/>
          <w:lang w:val="la-Latn"/>
        </w:rPr>
        <w:t>Članstvo u međunarodnim gospodarskim organizacijama:</w:t>
      </w:r>
      <w:r w:rsidRPr="008C08A4">
        <w:rPr>
          <w:sz w:val="24"/>
          <w:szCs w:val="24"/>
          <w:lang w:val="la-Latn"/>
        </w:rPr>
        <w:t xml:space="preserve">GCC, IBRD, </w:t>
      </w:r>
      <w:r w:rsidR="0015650F">
        <w:rPr>
          <w:sz w:val="24"/>
          <w:szCs w:val="24"/>
          <w:lang w:val="hr-HR"/>
        </w:rPr>
        <w:t xml:space="preserve">IDA, </w:t>
      </w:r>
      <w:r w:rsidRPr="008C08A4">
        <w:rPr>
          <w:sz w:val="24"/>
          <w:szCs w:val="24"/>
          <w:lang w:val="la-Latn"/>
        </w:rPr>
        <w:t xml:space="preserve">IMF, MIGA, OAPEC, </w:t>
      </w:r>
      <w:r w:rsidR="0015650F" w:rsidRPr="0015650F">
        <w:rPr>
          <w:sz w:val="24"/>
          <w:szCs w:val="24"/>
          <w:lang w:val="la-Latn"/>
        </w:rPr>
        <w:t>UNWTO</w:t>
      </w:r>
      <w:r w:rsidR="0015650F">
        <w:rPr>
          <w:sz w:val="24"/>
          <w:szCs w:val="24"/>
          <w:lang w:val="hr-HR"/>
        </w:rPr>
        <w:t xml:space="preserve">, </w:t>
      </w:r>
      <w:r w:rsidRPr="008C08A4">
        <w:rPr>
          <w:sz w:val="24"/>
          <w:szCs w:val="24"/>
          <w:lang w:val="la-Latn"/>
        </w:rPr>
        <w:t>WTO</w:t>
      </w:r>
      <w:bookmarkStart w:id="0" w:name="Zadnje"/>
      <w:bookmarkEnd w:id="0"/>
      <w:r w:rsidRPr="008C08A4">
        <w:rPr>
          <w:sz w:val="24"/>
          <w:szCs w:val="24"/>
          <w:lang w:val="la-Latn"/>
        </w:rPr>
        <w:t xml:space="preserve"> i dr.</w:t>
      </w:r>
    </w:p>
    <w:p w14:paraId="50AD2D79" w14:textId="77777777" w:rsidR="003905C5" w:rsidRDefault="003905C5" w:rsidP="00414273">
      <w:pPr>
        <w:pStyle w:val="INormal"/>
        <w:rPr>
          <w:sz w:val="24"/>
          <w:szCs w:val="24"/>
          <w:lang w:val="la-La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3B7264" w14:paraId="532ACFEE" w14:textId="77777777" w:rsidTr="003905C5">
        <w:trPr>
          <w:divId w:val="969284273"/>
        </w:trPr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1EB65014" w14:textId="77777777" w:rsidR="003B7264" w:rsidRDefault="003B7264" w:rsidP="003B7264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Makroekonomski pokazatelji</w:t>
            </w:r>
          </w:p>
        </w:tc>
      </w:tr>
    </w:tbl>
    <w:p w14:paraId="2C77ADEF" w14:textId="77777777" w:rsidR="003B7264" w:rsidRDefault="003B7264" w:rsidP="003B7264">
      <w:pPr>
        <w:pStyle w:val="INormal"/>
        <w:rPr>
          <w:sz w:val="24"/>
          <w:szCs w:val="24"/>
          <w:lang w:val="la-Latn"/>
        </w:rPr>
      </w:pPr>
    </w:p>
    <w:tbl>
      <w:tblPr>
        <w:tblW w:w="905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2966"/>
        <w:gridCol w:w="1218"/>
        <w:gridCol w:w="1218"/>
        <w:gridCol w:w="1218"/>
        <w:gridCol w:w="1218"/>
        <w:gridCol w:w="1216"/>
      </w:tblGrid>
      <w:tr w:rsidR="001A3501" w:rsidRPr="008C08A4" w14:paraId="462B8A56" w14:textId="7AD2A720" w:rsidTr="0015650F">
        <w:trPr>
          <w:trHeight w:val="384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065886D0" w14:textId="77777777" w:rsidR="001A3501" w:rsidRPr="008C08A4" w:rsidRDefault="001A3501" w:rsidP="006776DA">
            <w:pPr>
              <w:pStyle w:val="INormal"/>
              <w:spacing w:line="276" w:lineRule="auto"/>
              <w:jc w:val="center"/>
              <w:rPr>
                <w:color w:val="0D0D0D"/>
                <w:sz w:val="24"/>
                <w:szCs w:val="24"/>
                <w:lang w:val="la-Latn"/>
              </w:rPr>
            </w:pPr>
          </w:p>
        </w:tc>
        <w:tc>
          <w:tcPr>
            <w:tcW w:w="1178" w:type="dxa"/>
            <w:shd w:val="clear" w:color="auto" w:fill="9CC2E5" w:themeFill="accent1" w:themeFillTint="99"/>
            <w:vAlign w:val="center"/>
          </w:tcPr>
          <w:p w14:paraId="3C3487FC" w14:textId="77777777" w:rsidR="001A3501" w:rsidRPr="00032ED6" w:rsidRDefault="001A3501" w:rsidP="006776DA">
            <w:pPr>
              <w:pStyle w:val="INormal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val="hr-HR"/>
              </w:rPr>
            </w:pPr>
            <w:r>
              <w:rPr>
                <w:b/>
                <w:color w:val="0D0D0D"/>
                <w:sz w:val="24"/>
                <w:szCs w:val="24"/>
                <w:lang w:val="hr-HR"/>
              </w:rPr>
              <w:t>2020.</w:t>
            </w:r>
          </w:p>
        </w:tc>
        <w:tc>
          <w:tcPr>
            <w:tcW w:w="1178" w:type="dxa"/>
            <w:shd w:val="clear" w:color="auto" w:fill="9CC2E5" w:themeFill="accent1" w:themeFillTint="99"/>
            <w:vAlign w:val="center"/>
          </w:tcPr>
          <w:p w14:paraId="4651AB75" w14:textId="77777777" w:rsidR="001A3501" w:rsidRPr="006776DA" w:rsidRDefault="001A3501" w:rsidP="006776DA">
            <w:pPr>
              <w:pStyle w:val="INormal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val="hr-HR"/>
              </w:rPr>
            </w:pPr>
            <w:r>
              <w:rPr>
                <w:b/>
                <w:color w:val="0D0D0D"/>
                <w:sz w:val="24"/>
                <w:szCs w:val="24"/>
                <w:lang w:val="hr-HR"/>
              </w:rPr>
              <w:t>2021.</w:t>
            </w:r>
          </w:p>
        </w:tc>
        <w:tc>
          <w:tcPr>
            <w:tcW w:w="1178" w:type="dxa"/>
            <w:shd w:val="clear" w:color="auto" w:fill="9CC2E5" w:themeFill="accent1" w:themeFillTint="99"/>
            <w:vAlign w:val="center"/>
          </w:tcPr>
          <w:p w14:paraId="248F1BF2" w14:textId="45723E28" w:rsidR="001A3501" w:rsidRDefault="001A3501" w:rsidP="006776DA">
            <w:pPr>
              <w:pStyle w:val="INormal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val="hr-HR"/>
              </w:rPr>
            </w:pPr>
            <w:r>
              <w:rPr>
                <w:b/>
                <w:color w:val="0D0D0D"/>
                <w:sz w:val="24"/>
                <w:szCs w:val="24"/>
                <w:lang w:val="hr-HR"/>
              </w:rPr>
              <w:t>2022.</w:t>
            </w:r>
          </w:p>
        </w:tc>
        <w:tc>
          <w:tcPr>
            <w:tcW w:w="1178" w:type="dxa"/>
            <w:shd w:val="clear" w:color="auto" w:fill="9CC2E5" w:themeFill="accent1" w:themeFillTint="99"/>
            <w:vAlign w:val="center"/>
          </w:tcPr>
          <w:p w14:paraId="14E69082" w14:textId="0DFFA97A" w:rsidR="001A3501" w:rsidRDefault="001A3501" w:rsidP="006776DA">
            <w:pPr>
              <w:pStyle w:val="INormal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val="hr-HR"/>
              </w:rPr>
            </w:pPr>
            <w:r>
              <w:rPr>
                <w:b/>
                <w:color w:val="0D0D0D"/>
                <w:sz w:val="24"/>
                <w:szCs w:val="24"/>
                <w:lang w:val="hr-HR"/>
              </w:rPr>
              <w:t>2023.</w:t>
            </w:r>
          </w:p>
        </w:tc>
        <w:tc>
          <w:tcPr>
            <w:tcW w:w="1156" w:type="dxa"/>
            <w:shd w:val="clear" w:color="auto" w:fill="9CC2E5" w:themeFill="accent1" w:themeFillTint="99"/>
            <w:vAlign w:val="center"/>
          </w:tcPr>
          <w:p w14:paraId="7E627E3E" w14:textId="43C89693" w:rsidR="001A3501" w:rsidRDefault="001A3501" w:rsidP="006776DA">
            <w:pPr>
              <w:pStyle w:val="INormal"/>
              <w:spacing w:line="276" w:lineRule="auto"/>
              <w:jc w:val="center"/>
              <w:rPr>
                <w:b/>
                <w:color w:val="0D0D0D"/>
                <w:sz w:val="24"/>
                <w:szCs w:val="24"/>
                <w:lang w:val="hr-HR"/>
              </w:rPr>
            </w:pPr>
            <w:r>
              <w:rPr>
                <w:b/>
                <w:color w:val="0D0D0D"/>
                <w:sz w:val="24"/>
                <w:szCs w:val="24"/>
                <w:lang w:val="hr-HR"/>
              </w:rPr>
              <w:t>2024.</w:t>
            </w:r>
          </w:p>
        </w:tc>
      </w:tr>
      <w:tr w:rsidR="001A3501" w:rsidRPr="008C08A4" w14:paraId="6A0B6A6F" w14:textId="23920809" w:rsidTr="0015650F">
        <w:trPr>
          <w:trHeight w:val="440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0F66CF20" w14:textId="77777777" w:rsidR="001A3501" w:rsidRPr="008C08A4" w:rsidRDefault="001A3501" w:rsidP="006776DA">
            <w:pPr>
              <w:pStyle w:val="INormal"/>
              <w:jc w:val="left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BDP, tekuće cijene</w:t>
            </w:r>
            <w:r>
              <w:rPr>
                <w:b/>
                <w:color w:val="0D0D0D"/>
                <w:sz w:val="24"/>
                <w:szCs w:val="24"/>
                <w:lang w:val="hr-HR"/>
              </w:rPr>
              <w:t xml:space="preserve"> </w:t>
            </w: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(milijarde USD)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85EB051" w14:textId="5361C3BE" w:rsidR="001A3501" w:rsidRPr="00791C18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144,4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39F1C3E" w14:textId="459B3900" w:rsidR="001A3501" w:rsidRPr="00271FC0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179,7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58F25D0" w14:textId="70E7B234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235,7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D799745" w14:textId="3A8CA159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213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344B1052" w14:textId="2621FDBE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217,9</w:t>
            </w:r>
          </w:p>
        </w:tc>
      </w:tr>
      <w:tr w:rsidR="001A3501" w:rsidRPr="008C08A4" w14:paraId="27798947" w14:textId="3EBDE578" w:rsidTr="0015650F">
        <w:trPr>
          <w:trHeight w:val="546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52FF2473" w14:textId="77777777" w:rsidR="001A3501" w:rsidRPr="008C08A4" w:rsidRDefault="001A3501" w:rsidP="006776DA">
            <w:pPr>
              <w:pStyle w:val="INormal"/>
              <w:jc w:val="left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BDP po stanovniku (USD)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0129A8C" w14:textId="7F7B7CC3" w:rsidR="001A3501" w:rsidRPr="00791C18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51.683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4BFA714" w14:textId="4F290888" w:rsidR="001A3501" w:rsidRPr="00271FC0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71.701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96D8083" w14:textId="76F59976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88.701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6890B20" w14:textId="49BA6F7A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80.195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1618F19B" w14:textId="326B10E8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76.275</w:t>
            </w:r>
          </w:p>
        </w:tc>
      </w:tr>
      <w:tr w:rsidR="001A3501" w:rsidRPr="008C08A4" w14:paraId="0FB64415" w14:textId="55F985F3" w:rsidTr="0015650F">
        <w:trPr>
          <w:trHeight w:val="376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7C943631" w14:textId="77777777" w:rsidR="001A3501" w:rsidRPr="008C08A4" w:rsidRDefault="001A3501" w:rsidP="006776DA">
            <w:pPr>
              <w:pStyle w:val="INormal"/>
              <w:jc w:val="left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Realni rast BDP-a (%)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5223BDB" w14:textId="055A8978" w:rsidR="001A3501" w:rsidRPr="00791C18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-3,6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D5EFA55" w14:textId="67D4A9CF" w:rsidR="001A3501" w:rsidRPr="00271FC0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1,5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79F9161" w14:textId="2FBBAB3F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4,2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31BB868B" w14:textId="4BF9B8EE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1,2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60948F6C" w14:textId="1739B9FF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2,8</w:t>
            </w:r>
          </w:p>
        </w:tc>
      </w:tr>
      <w:tr w:rsidR="001A3501" w:rsidRPr="008C08A4" w14:paraId="64928D61" w14:textId="3E4EFB66" w:rsidTr="0015650F">
        <w:trPr>
          <w:trHeight w:val="546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5E5E8BC1" w14:textId="77777777" w:rsidR="001A3501" w:rsidRPr="008C08A4" w:rsidRDefault="001A3501" w:rsidP="006776DA">
            <w:pPr>
              <w:pStyle w:val="INormal"/>
              <w:jc w:val="left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Inflacija (%)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7DF19F7" w14:textId="31AC4C73" w:rsidR="001A3501" w:rsidRPr="008517CB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-2,5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4F42093" w14:textId="68063FE7" w:rsidR="001A3501" w:rsidRPr="009D364A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2,3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1BC5663" w14:textId="3C6220C2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4,9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C5A37AC" w14:textId="3D2CEEA1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3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770F57BC" w14:textId="22E33185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1,3</w:t>
            </w:r>
          </w:p>
        </w:tc>
      </w:tr>
      <w:tr w:rsidR="001A3501" w:rsidRPr="008C08A4" w14:paraId="5CC2571C" w14:textId="22A5C5C7" w:rsidTr="0015650F">
        <w:trPr>
          <w:trHeight w:val="546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6546A43E" w14:textId="77777777" w:rsidR="001A3501" w:rsidRPr="008C08A4" w:rsidRDefault="001A3501" w:rsidP="006776DA">
            <w:pPr>
              <w:pStyle w:val="INormal"/>
              <w:jc w:val="left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Nezaposlenost (%)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6C17A3E" w14:textId="4914AA45" w:rsidR="001A3501" w:rsidRPr="00791C18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0,1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777BA052" w14:textId="4C529E06" w:rsidR="001A3501" w:rsidRPr="00732AA3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0,1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064C1E93" w14:textId="752CA2A1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0,1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6F762C98" w14:textId="4E3118A9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0,1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4CA12E25" w14:textId="7EAEF984" w:rsidR="001A3501" w:rsidRDefault="001C20B6" w:rsidP="006776DA">
            <w:pPr>
              <w:spacing w:before="150"/>
              <w:jc w:val="center"/>
              <w:rPr>
                <w:color w:val="0D0D0D"/>
                <w:sz w:val="24"/>
                <w:szCs w:val="24"/>
              </w:rPr>
            </w:pPr>
            <w:r>
              <w:rPr>
                <w:color w:val="0D0D0D"/>
                <w:sz w:val="24"/>
                <w:szCs w:val="24"/>
              </w:rPr>
              <w:t>0,1</w:t>
            </w:r>
          </w:p>
        </w:tc>
      </w:tr>
      <w:tr w:rsidR="001A3501" w:rsidRPr="008C08A4" w14:paraId="393EC8C6" w14:textId="5E742CE3" w:rsidTr="0015650F">
        <w:trPr>
          <w:trHeight w:val="418"/>
          <w:tblCellSpacing w:w="20" w:type="dxa"/>
        </w:trPr>
        <w:tc>
          <w:tcPr>
            <w:tcW w:w="2906" w:type="dxa"/>
            <w:shd w:val="clear" w:color="auto" w:fill="9CC2E5" w:themeFill="accent1" w:themeFillTint="99"/>
            <w:vAlign w:val="center"/>
          </w:tcPr>
          <w:p w14:paraId="2694A79D" w14:textId="77777777" w:rsidR="001A3501" w:rsidRPr="008C08A4" w:rsidRDefault="001A3501" w:rsidP="006776DA">
            <w:pPr>
              <w:pStyle w:val="INormal"/>
              <w:jc w:val="left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Izravna strana ulaganja (milijarde USD)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DC99819" w14:textId="424C37B8" w:rsidR="001A3501" w:rsidRPr="00791C18" w:rsidRDefault="001C20B6" w:rsidP="006776DA">
            <w:pPr>
              <w:spacing w:before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-2,4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49DCDE09" w14:textId="7E879D54" w:rsidR="001A3501" w:rsidRPr="00F441F2" w:rsidRDefault="001C20B6" w:rsidP="006776DA">
            <w:pPr>
              <w:spacing w:before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-10,9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262ED3F2" w14:textId="2284BB88" w:rsidR="001A3501" w:rsidRDefault="001C20B6" w:rsidP="006776DA">
            <w:pPr>
              <w:spacing w:before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7,6</w:t>
            </w:r>
          </w:p>
        </w:tc>
        <w:tc>
          <w:tcPr>
            <w:tcW w:w="1178" w:type="dxa"/>
            <w:shd w:val="clear" w:color="auto" w:fill="FFFFFF"/>
            <w:vAlign w:val="center"/>
          </w:tcPr>
          <w:p w14:paraId="5A5895AC" w14:textId="0F6B692F" w:rsidR="001A3501" w:rsidRDefault="001C20B6" w:rsidP="006776DA">
            <w:pPr>
              <w:spacing w:before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-4,7</w:t>
            </w:r>
          </w:p>
        </w:tc>
        <w:tc>
          <w:tcPr>
            <w:tcW w:w="1156" w:type="dxa"/>
            <w:shd w:val="clear" w:color="auto" w:fill="FFFFFF"/>
            <w:vAlign w:val="center"/>
          </w:tcPr>
          <w:p w14:paraId="29EAEC70" w14:textId="67873A63" w:rsidR="001A3501" w:rsidRDefault="001C20B6" w:rsidP="006776DA">
            <w:pPr>
              <w:spacing w:before="15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4,6</w:t>
            </w:r>
          </w:p>
        </w:tc>
      </w:tr>
    </w:tbl>
    <w:p w14:paraId="38A9350A" w14:textId="11433FB6" w:rsidR="001900FE" w:rsidRPr="008C08A4" w:rsidRDefault="0023486F" w:rsidP="0023486F">
      <w:pPr>
        <w:pStyle w:val="INormal"/>
        <w:rPr>
          <w:i/>
          <w:color w:val="0D0D0D"/>
          <w:lang w:val="la-Latn"/>
        </w:rPr>
      </w:pPr>
      <w:r w:rsidRPr="008C08A4">
        <w:rPr>
          <w:i/>
          <w:color w:val="0D0D0D"/>
          <w:lang w:val="la-Latn"/>
        </w:rPr>
        <w:t>Izvor:</w:t>
      </w:r>
      <w:r w:rsidR="002A2422" w:rsidRPr="008C08A4">
        <w:rPr>
          <w:i/>
          <w:color w:val="0D0D0D"/>
          <w:lang w:val="la-Latn"/>
        </w:rPr>
        <w:t>The World Bank</w:t>
      </w:r>
    </w:p>
    <w:p w14:paraId="4E6483B1" w14:textId="575CE0D7" w:rsidR="001900FE" w:rsidRPr="008C08A4" w:rsidRDefault="0023486F" w:rsidP="0023486F">
      <w:pPr>
        <w:pStyle w:val="INormal"/>
        <w:rPr>
          <w:i/>
          <w:color w:val="0D0D0D"/>
          <w:lang w:val="la-Latn"/>
        </w:rPr>
      </w:pPr>
      <w:r w:rsidRPr="008C08A4">
        <w:rPr>
          <w:b/>
          <w:sz w:val="24"/>
          <w:szCs w:val="24"/>
          <w:lang w:val="la-Latn"/>
        </w:rPr>
        <w:t>Struktura BDP-a</w:t>
      </w:r>
      <w:r w:rsidR="008517CB">
        <w:rPr>
          <w:b/>
          <w:sz w:val="24"/>
          <w:szCs w:val="24"/>
          <w:lang w:val="la-Latn"/>
        </w:rPr>
        <w:t xml:space="preserve"> </w:t>
      </w:r>
      <w:r w:rsidR="008517CB">
        <w:rPr>
          <w:b/>
          <w:sz w:val="24"/>
          <w:szCs w:val="24"/>
          <w:lang w:val="hr-HR"/>
        </w:rPr>
        <w:t>:</w:t>
      </w:r>
      <w:r w:rsidR="00522E32">
        <w:rPr>
          <w:b/>
          <w:sz w:val="24"/>
          <w:szCs w:val="24"/>
          <w:lang w:val="la-Latn"/>
        </w:rPr>
        <w:t xml:space="preserve"> </w:t>
      </w:r>
      <w:r w:rsidRPr="008C08A4">
        <w:rPr>
          <w:sz w:val="24"/>
          <w:szCs w:val="24"/>
          <w:lang w:val="la-Latn"/>
        </w:rPr>
        <w:t xml:space="preserve">usluge </w:t>
      </w:r>
      <w:r w:rsidR="004405B4">
        <w:rPr>
          <w:sz w:val="24"/>
          <w:szCs w:val="24"/>
          <w:lang w:val="hr-HR"/>
        </w:rPr>
        <w:t>46,1</w:t>
      </w:r>
      <w:r w:rsidRPr="008C08A4">
        <w:rPr>
          <w:sz w:val="24"/>
          <w:szCs w:val="24"/>
          <w:lang w:val="la-Latn"/>
        </w:rPr>
        <w:t xml:space="preserve">%, industrija </w:t>
      </w:r>
      <w:r w:rsidR="0030565C">
        <w:rPr>
          <w:sz w:val="24"/>
          <w:szCs w:val="24"/>
          <w:lang w:val="hr-HR"/>
        </w:rPr>
        <w:t>5</w:t>
      </w:r>
      <w:r w:rsidR="004405B4">
        <w:rPr>
          <w:sz w:val="24"/>
          <w:szCs w:val="24"/>
          <w:lang w:val="hr-HR"/>
        </w:rPr>
        <w:t>8</w:t>
      </w:r>
      <w:r w:rsidR="0030565C">
        <w:rPr>
          <w:sz w:val="24"/>
          <w:szCs w:val="24"/>
          <w:lang w:val="hr-HR"/>
        </w:rPr>
        <w:t>,2</w:t>
      </w:r>
      <w:r w:rsidR="001900FE" w:rsidRPr="008C08A4">
        <w:rPr>
          <w:sz w:val="24"/>
          <w:szCs w:val="24"/>
          <w:lang w:val="la-Latn"/>
        </w:rPr>
        <w:t>%, poljoprivreda 0,</w:t>
      </w:r>
      <w:r w:rsidR="004405B4">
        <w:rPr>
          <w:sz w:val="24"/>
          <w:szCs w:val="24"/>
          <w:lang w:val="hr-HR"/>
        </w:rPr>
        <w:t>3</w:t>
      </w:r>
      <w:r w:rsidR="001900FE" w:rsidRPr="008C08A4">
        <w:rPr>
          <w:sz w:val="24"/>
          <w:szCs w:val="24"/>
          <w:lang w:val="la-Latn"/>
        </w:rPr>
        <w:t>%</w:t>
      </w:r>
      <w:r w:rsidR="0037475D" w:rsidRPr="008C08A4">
        <w:rPr>
          <w:sz w:val="24"/>
          <w:szCs w:val="24"/>
          <w:lang w:val="la-Latn"/>
        </w:rPr>
        <w:t>.</w:t>
      </w:r>
      <w:r w:rsidR="001900FE" w:rsidRPr="008C08A4">
        <w:rPr>
          <w:sz w:val="24"/>
          <w:szCs w:val="24"/>
          <w:lang w:val="la-Latn"/>
        </w:rPr>
        <w:t xml:space="preserve"> </w:t>
      </w:r>
    </w:p>
    <w:p w14:paraId="011D0CF3" w14:textId="22A3A1DF" w:rsidR="00795490" w:rsidRPr="00AC53F6" w:rsidRDefault="0023486F" w:rsidP="00795490">
      <w:pPr>
        <w:pStyle w:val="INormal"/>
        <w:rPr>
          <w:sz w:val="24"/>
          <w:szCs w:val="24"/>
          <w:lang w:val="hr-HR"/>
        </w:rPr>
      </w:pPr>
      <w:r w:rsidRPr="008C08A4">
        <w:rPr>
          <w:b/>
          <w:sz w:val="24"/>
          <w:szCs w:val="24"/>
          <w:lang w:val="la-Latn"/>
        </w:rPr>
        <w:t xml:space="preserve">Najvažnije industrije: </w:t>
      </w:r>
      <w:r w:rsidRPr="008C08A4">
        <w:rPr>
          <w:sz w:val="24"/>
          <w:szCs w:val="24"/>
          <w:lang w:val="la-Latn"/>
        </w:rPr>
        <w:t>prirodni uka</w:t>
      </w:r>
      <w:r w:rsidR="001900FE" w:rsidRPr="008C08A4">
        <w:rPr>
          <w:sz w:val="24"/>
          <w:szCs w:val="24"/>
          <w:lang w:val="la-Latn"/>
        </w:rPr>
        <w:t>pljeni plin (LNG), sirova nafta i</w:t>
      </w:r>
      <w:r w:rsidRPr="008C08A4">
        <w:rPr>
          <w:sz w:val="24"/>
          <w:szCs w:val="24"/>
          <w:lang w:val="la-Latn"/>
        </w:rPr>
        <w:t xml:space="preserve"> rafinirani naftni proizvodi, </w:t>
      </w:r>
      <w:r w:rsidR="00AC53F6">
        <w:rPr>
          <w:sz w:val="24"/>
          <w:szCs w:val="24"/>
          <w:lang w:val="hr-HR"/>
        </w:rPr>
        <w:t xml:space="preserve">umjetna </w:t>
      </w:r>
      <w:r w:rsidR="009D2514">
        <w:rPr>
          <w:sz w:val="24"/>
          <w:szCs w:val="24"/>
          <w:lang w:val="hr-HR"/>
        </w:rPr>
        <w:t>gnojiva</w:t>
      </w:r>
      <w:r w:rsidR="00AC53F6">
        <w:rPr>
          <w:sz w:val="24"/>
          <w:szCs w:val="24"/>
          <w:lang w:val="hr-HR"/>
        </w:rPr>
        <w:t xml:space="preserve"> i plastične mase.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AA73DA" w:rsidRPr="008C08A4" w14:paraId="09EE8A54" w14:textId="77777777" w:rsidTr="003905C5">
        <w:tc>
          <w:tcPr>
            <w:tcW w:w="9060" w:type="dxa"/>
            <w:shd w:val="clear" w:color="auto" w:fill="9CC2E5" w:themeFill="accent1" w:themeFillTint="99"/>
          </w:tcPr>
          <w:p w14:paraId="52866C1E" w14:textId="77777777" w:rsidR="00AA73DA" w:rsidRPr="008C08A4" w:rsidRDefault="00AA73DA" w:rsidP="006A320E">
            <w:pPr>
              <w:pStyle w:val="IBul1"/>
              <w:numPr>
                <w:ilvl w:val="0"/>
                <w:numId w:val="0"/>
              </w:numPr>
              <w:jc w:val="center"/>
              <w:rPr>
                <w:b/>
                <w:color w:val="0D0D0D"/>
                <w:sz w:val="24"/>
                <w:szCs w:val="24"/>
                <w:lang w:val="la-Latn"/>
              </w:rPr>
            </w:pPr>
            <w:r w:rsidRPr="008C08A4">
              <w:rPr>
                <w:b/>
                <w:color w:val="0D0D0D"/>
                <w:sz w:val="24"/>
                <w:szCs w:val="24"/>
                <w:lang w:val="la-Latn"/>
              </w:rPr>
              <w:t>Vanjskotrgovinska razmjena</w:t>
            </w:r>
          </w:p>
        </w:tc>
      </w:tr>
    </w:tbl>
    <w:p w14:paraId="1F3D65C6" w14:textId="77777777" w:rsidR="00AA73DA" w:rsidRPr="008C08A4" w:rsidRDefault="00AA73DA" w:rsidP="006A2D64">
      <w:pPr>
        <w:pStyle w:val="INormal"/>
        <w:spacing w:after="0"/>
        <w:jc w:val="right"/>
        <w:rPr>
          <w:i/>
          <w:lang w:val="la-Latn"/>
        </w:rPr>
      </w:pPr>
      <w:r w:rsidRPr="008C08A4">
        <w:rPr>
          <w:i/>
          <w:lang w:val="la-Latn"/>
        </w:rPr>
        <w:tab/>
        <w:t>U milijardama USD</w:t>
      </w:r>
    </w:p>
    <w:tbl>
      <w:tblPr>
        <w:tblW w:w="905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96"/>
        <w:gridCol w:w="1412"/>
        <w:gridCol w:w="1412"/>
        <w:gridCol w:w="1412"/>
        <w:gridCol w:w="1412"/>
        <w:gridCol w:w="1410"/>
      </w:tblGrid>
      <w:tr w:rsidR="001A3501" w:rsidRPr="008C08A4" w14:paraId="3884B64B" w14:textId="6467CDC8" w:rsidTr="001A3501">
        <w:trPr>
          <w:trHeight w:val="255"/>
          <w:tblCellSpacing w:w="20" w:type="dxa"/>
        </w:trPr>
        <w:tc>
          <w:tcPr>
            <w:tcW w:w="1936" w:type="dxa"/>
            <w:shd w:val="clear" w:color="auto" w:fill="9CC2E5" w:themeFill="accent1" w:themeFillTint="99"/>
            <w:vAlign w:val="center"/>
          </w:tcPr>
          <w:p w14:paraId="11762BAF" w14:textId="77777777" w:rsidR="001A3501" w:rsidRPr="008C08A4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</w:p>
        </w:tc>
        <w:tc>
          <w:tcPr>
            <w:tcW w:w="1372" w:type="dxa"/>
            <w:shd w:val="clear" w:color="auto" w:fill="9CC2E5" w:themeFill="accent1" w:themeFillTint="99"/>
            <w:vAlign w:val="center"/>
          </w:tcPr>
          <w:p w14:paraId="5006A5CA" w14:textId="77777777" w:rsidR="001A3501" w:rsidRPr="00A769E8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2020.</w:t>
            </w:r>
          </w:p>
        </w:tc>
        <w:tc>
          <w:tcPr>
            <w:tcW w:w="1372" w:type="dxa"/>
            <w:shd w:val="clear" w:color="auto" w:fill="9CC2E5" w:themeFill="accent1" w:themeFillTint="99"/>
            <w:vAlign w:val="center"/>
          </w:tcPr>
          <w:p w14:paraId="2A131120" w14:textId="77777777" w:rsidR="001A3501" w:rsidRPr="00032ED6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2021.</w:t>
            </w:r>
          </w:p>
        </w:tc>
        <w:tc>
          <w:tcPr>
            <w:tcW w:w="1372" w:type="dxa"/>
            <w:shd w:val="clear" w:color="auto" w:fill="9CC2E5" w:themeFill="accent1" w:themeFillTint="99"/>
          </w:tcPr>
          <w:p w14:paraId="60DB6B15" w14:textId="52AD4C4F" w:rsidR="001A3501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2022.</w:t>
            </w:r>
          </w:p>
        </w:tc>
        <w:tc>
          <w:tcPr>
            <w:tcW w:w="1372" w:type="dxa"/>
            <w:shd w:val="clear" w:color="auto" w:fill="9CC2E5" w:themeFill="accent1" w:themeFillTint="99"/>
          </w:tcPr>
          <w:p w14:paraId="502A8BFE" w14:textId="6BC0CE87" w:rsidR="001A3501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2023.</w:t>
            </w:r>
          </w:p>
        </w:tc>
        <w:tc>
          <w:tcPr>
            <w:tcW w:w="1350" w:type="dxa"/>
            <w:shd w:val="clear" w:color="auto" w:fill="9CC2E5" w:themeFill="accent1" w:themeFillTint="99"/>
          </w:tcPr>
          <w:p w14:paraId="7D4E65DE" w14:textId="25C803D3" w:rsidR="001A3501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2024.</w:t>
            </w:r>
          </w:p>
        </w:tc>
      </w:tr>
      <w:tr w:rsidR="001A3501" w:rsidRPr="008C08A4" w14:paraId="05422F16" w14:textId="43A6EB49" w:rsidTr="001A3501">
        <w:trPr>
          <w:trHeight w:val="390"/>
          <w:tblCellSpacing w:w="20" w:type="dxa"/>
        </w:trPr>
        <w:tc>
          <w:tcPr>
            <w:tcW w:w="1936" w:type="dxa"/>
            <w:shd w:val="clear" w:color="auto" w:fill="9CC2E5" w:themeFill="accent1" w:themeFillTint="99"/>
            <w:vAlign w:val="center"/>
          </w:tcPr>
          <w:p w14:paraId="56522187" w14:textId="77777777" w:rsidR="001A3501" w:rsidRPr="008C08A4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IZVOZ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2891EC5A" w14:textId="41F4A348" w:rsidR="001A3501" w:rsidRPr="00A769E8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70,4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01250BCC" w14:textId="44C008AC" w:rsidR="001A3501" w:rsidRPr="005125DF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105,5</w:t>
            </w:r>
          </w:p>
        </w:tc>
        <w:tc>
          <w:tcPr>
            <w:tcW w:w="1372" w:type="dxa"/>
            <w:shd w:val="clear" w:color="auto" w:fill="FFFFFF"/>
          </w:tcPr>
          <w:p w14:paraId="2FA10CAC" w14:textId="48C1800D" w:rsidR="001A3501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161,7</w:t>
            </w:r>
          </w:p>
        </w:tc>
        <w:tc>
          <w:tcPr>
            <w:tcW w:w="1372" w:type="dxa"/>
            <w:shd w:val="clear" w:color="auto" w:fill="FFFFFF"/>
          </w:tcPr>
          <w:p w14:paraId="1AD0C985" w14:textId="4A405CF4" w:rsidR="001A3501" w:rsidRDefault="00CF31CD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FFFFFF"/>
          </w:tcPr>
          <w:p w14:paraId="759D3040" w14:textId="464E7DD7" w:rsidR="001A3501" w:rsidRDefault="00CF31CD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501" w:rsidRPr="008C08A4" w14:paraId="6CD4380A" w14:textId="2A50F433" w:rsidTr="001A3501">
        <w:trPr>
          <w:trHeight w:val="390"/>
          <w:tblCellSpacing w:w="20" w:type="dxa"/>
        </w:trPr>
        <w:tc>
          <w:tcPr>
            <w:tcW w:w="1936" w:type="dxa"/>
            <w:shd w:val="clear" w:color="auto" w:fill="9CC2E5" w:themeFill="accent1" w:themeFillTint="99"/>
            <w:vAlign w:val="center"/>
          </w:tcPr>
          <w:p w14:paraId="57150548" w14:textId="77777777" w:rsidR="001A3501" w:rsidRPr="008C08A4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UVOZ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63E5ECED" w14:textId="4E22161A" w:rsidR="001A3501" w:rsidRPr="00A769E8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06BF1D50" w14:textId="38C190B5" w:rsidR="001A3501" w:rsidRPr="005125DF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</w:t>
            </w:r>
          </w:p>
        </w:tc>
        <w:tc>
          <w:tcPr>
            <w:tcW w:w="1372" w:type="dxa"/>
            <w:shd w:val="clear" w:color="auto" w:fill="FFFFFF"/>
          </w:tcPr>
          <w:p w14:paraId="705E4E48" w14:textId="416D579C" w:rsidR="001A3501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754,5</w:t>
            </w:r>
          </w:p>
        </w:tc>
        <w:tc>
          <w:tcPr>
            <w:tcW w:w="1372" w:type="dxa"/>
            <w:shd w:val="clear" w:color="auto" w:fill="FFFFFF"/>
          </w:tcPr>
          <w:p w14:paraId="78BFBA16" w14:textId="1175C4D1" w:rsidR="001A3501" w:rsidRDefault="00CF31CD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FFFFFF"/>
          </w:tcPr>
          <w:p w14:paraId="7EB50032" w14:textId="6789E480" w:rsidR="001A3501" w:rsidRDefault="00CF31CD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A3501" w:rsidRPr="008C08A4" w14:paraId="5E461F8E" w14:textId="00D57CCC" w:rsidTr="001A3501">
        <w:trPr>
          <w:trHeight w:val="390"/>
          <w:tblCellSpacing w:w="20" w:type="dxa"/>
        </w:trPr>
        <w:tc>
          <w:tcPr>
            <w:tcW w:w="1936" w:type="dxa"/>
            <w:shd w:val="clear" w:color="auto" w:fill="9CC2E5" w:themeFill="accent1" w:themeFillTint="99"/>
            <w:vAlign w:val="center"/>
          </w:tcPr>
          <w:p w14:paraId="2476B765" w14:textId="77777777" w:rsidR="001A3501" w:rsidRPr="008C08A4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UKUPNO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7C83B7C7" w14:textId="37D27885" w:rsidR="001A3501" w:rsidRPr="00A769E8" w:rsidRDefault="004405B4" w:rsidP="00404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</w:t>
            </w:r>
          </w:p>
        </w:tc>
        <w:tc>
          <w:tcPr>
            <w:tcW w:w="1372" w:type="dxa"/>
            <w:shd w:val="clear" w:color="auto" w:fill="FFFFFF"/>
            <w:vAlign w:val="center"/>
          </w:tcPr>
          <w:p w14:paraId="642E4627" w14:textId="66C20922" w:rsidR="001A3501" w:rsidRPr="005125DF" w:rsidRDefault="004405B4" w:rsidP="00404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166,7</w:t>
            </w:r>
          </w:p>
        </w:tc>
        <w:tc>
          <w:tcPr>
            <w:tcW w:w="1372" w:type="dxa"/>
            <w:shd w:val="clear" w:color="auto" w:fill="FFFFFF"/>
          </w:tcPr>
          <w:p w14:paraId="06145E7B" w14:textId="1598F530" w:rsidR="001A3501" w:rsidRDefault="004405B4" w:rsidP="00404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236,2</w:t>
            </w:r>
          </w:p>
        </w:tc>
        <w:tc>
          <w:tcPr>
            <w:tcW w:w="1372" w:type="dxa"/>
            <w:shd w:val="clear" w:color="auto" w:fill="FFFFFF"/>
          </w:tcPr>
          <w:p w14:paraId="79CD10CF" w14:textId="6DB82DED" w:rsidR="001A3501" w:rsidRDefault="00CF31CD" w:rsidP="00404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FFFFFF"/>
          </w:tcPr>
          <w:p w14:paraId="192150B0" w14:textId="60C2E91D" w:rsidR="001A3501" w:rsidRDefault="00CF31CD" w:rsidP="0040458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</w:tr>
      <w:tr w:rsidR="001A3501" w:rsidRPr="008C08A4" w14:paraId="50CBFE70" w14:textId="2E213AB8" w:rsidTr="001A3501">
        <w:trPr>
          <w:trHeight w:val="376"/>
          <w:tblCellSpacing w:w="20" w:type="dxa"/>
        </w:trPr>
        <w:tc>
          <w:tcPr>
            <w:tcW w:w="1936" w:type="dxa"/>
            <w:shd w:val="clear" w:color="auto" w:fill="9CC2E5" w:themeFill="accent1" w:themeFillTint="99"/>
            <w:vAlign w:val="center"/>
          </w:tcPr>
          <w:p w14:paraId="43357F2D" w14:textId="77777777" w:rsidR="001A3501" w:rsidRPr="008C08A4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RAZLIKA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34C53D29" w14:textId="24040A9C" w:rsidR="001A3501" w:rsidRPr="00A769E8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91,8</w:t>
            </w:r>
          </w:p>
        </w:tc>
        <w:tc>
          <w:tcPr>
            <w:tcW w:w="1372" w:type="dxa"/>
            <w:shd w:val="clear" w:color="auto" w:fill="FFFFFF" w:themeFill="background1"/>
            <w:vAlign w:val="center"/>
          </w:tcPr>
          <w:p w14:paraId="0DC81B4D" w14:textId="3184ABDB" w:rsidR="001A3501" w:rsidRPr="005125DF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44,3</w:t>
            </w:r>
          </w:p>
        </w:tc>
        <w:tc>
          <w:tcPr>
            <w:tcW w:w="1372" w:type="dxa"/>
            <w:shd w:val="clear" w:color="auto" w:fill="FFFFFF" w:themeFill="background1"/>
          </w:tcPr>
          <w:p w14:paraId="060B9BFC" w14:textId="43E2C791" w:rsidR="001A3501" w:rsidRDefault="004405B4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87,2</w:t>
            </w:r>
          </w:p>
        </w:tc>
        <w:tc>
          <w:tcPr>
            <w:tcW w:w="1372" w:type="dxa"/>
            <w:shd w:val="clear" w:color="auto" w:fill="FFFFFF" w:themeFill="background1"/>
          </w:tcPr>
          <w:p w14:paraId="76E0C23C" w14:textId="388E791A" w:rsidR="001A3501" w:rsidRDefault="00CF31CD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50" w:type="dxa"/>
            <w:shd w:val="clear" w:color="auto" w:fill="FFFFFF" w:themeFill="background1"/>
          </w:tcPr>
          <w:p w14:paraId="4BD66E76" w14:textId="495D55D7" w:rsidR="001A3501" w:rsidRDefault="00CF31CD" w:rsidP="0040458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14:paraId="3CECE1A2" w14:textId="6C1CFED3" w:rsidR="0023486F" w:rsidRPr="00FC2128" w:rsidRDefault="00AA73DA" w:rsidP="00AA73DA">
      <w:pPr>
        <w:pStyle w:val="INormal"/>
        <w:spacing w:after="0"/>
        <w:rPr>
          <w:i/>
          <w:color w:val="0D0D0D"/>
          <w:lang w:val="hr-HR"/>
        </w:rPr>
      </w:pPr>
      <w:r w:rsidRPr="008C08A4">
        <w:rPr>
          <w:i/>
          <w:color w:val="0D0D0D"/>
          <w:lang w:val="la-Latn"/>
        </w:rPr>
        <w:t>Izvor:</w:t>
      </w:r>
      <w:r w:rsidR="007E26DC" w:rsidRPr="008C08A4">
        <w:rPr>
          <w:i/>
          <w:color w:val="0D0D0D"/>
          <w:lang w:val="la-Latn"/>
        </w:rPr>
        <w:t>The World Bank</w:t>
      </w:r>
    </w:p>
    <w:p w14:paraId="6698E09C" w14:textId="77777777" w:rsidR="0023486F" w:rsidRPr="008517CB" w:rsidRDefault="0023486F" w:rsidP="0023486F">
      <w:pPr>
        <w:pStyle w:val="INormal"/>
        <w:rPr>
          <w:color w:val="000000" w:themeColor="text1"/>
          <w:sz w:val="24"/>
          <w:szCs w:val="24"/>
          <w:lang w:val="la-Latn"/>
        </w:rPr>
      </w:pPr>
      <w:r w:rsidRPr="008517CB">
        <w:rPr>
          <w:b/>
          <w:color w:val="000000" w:themeColor="text1"/>
          <w:sz w:val="24"/>
          <w:szCs w:val="24"/>
          <w:lang w:val="la-Latn"/>
        </w:rPr>
        <w:lastRenderedPageBreak/>
        <w:t>Najznačajnije zemlje izvoza:</w:t>
      </w:r>
      <w:r w:rsidR="001900FE" w:rsidRPr="008517CB">
        <w:rPr>
          <w:color w:val="000000" w:themeColor="text1"/>
          <w:sz w:val="24"/>
          <w:szCs w:val="24"/>
          <w:lang w:val="la-Latn"/>
        </w:rPr>
        <w:t xml:space="preserve"> </w:t>
      </w:r>
      <w:r w:rsidR="00772455">
        <w:rPr>
          <w:color w:val="000000" w:themeColor="text1"/>
          <w:sz w:val="24"/>
          <w:szCs w:val="24"/>
          <w:lang w:val="hr-HR"/>
        </w:rPr>
        <w:t xml:space="preserve">Kina 16,5%, </w:t>
      </w:r>
      <w:r w:rsidR="00772455">
        <w:rPr>
          <w:color w:val="000000" w:themeColor="text1"/>
          <w:sz w:val="24"/>
          <w:szCs w:val="24"/>
          <w:lang w:val="la-Latn"/>
        </w:rPr>
        <w:t>Japan 14,6</w:t>
      </w:r>
      <w:r w:rsidR="001900FE" w:rsidRPr="00772455">
        <w:rPr>
          <w:b/>
          <w:color w:val="000000" w:themeColor="text1"/>
          <w:sz w:val="24"/>
          <w:szCs w:val="24"/>
          <w:lang w:val="la-Latn"/>
        </w:rPr>
        <w:t xml:space="preserve">%, </w:t>
      </w:r>
      <w:r w:rsidR="00772455" w:rsidRPr="0040458A">
        <w:rPr>
          <w:color w:val="000000" w:themeColor="text1"/>
          <w:sz w:val="24"/>
          <w:szCs w:val="24"/>
          <w:lang w:val="hr-HR"/>
        </w:rPr>
        <w:t>Kina 14,5</w:t>
      </w:r>
      <w:r w:rsidR="0040458A">
        <w:rPr>
          <w:color w:val="000000" w:themeColor="text1"/>
          <w:sz w:val="24"/>
          <w:szCs w:val="24"/>
          <w:lang w:val="hr-HR"/>
        </w:rPr>
        <w:t>%</w:t>
      </w:r>
      <w:r w:rsidR="00772455" w:rsidRPr="0040458A">
        <w:rPr>
          <w:color w:val="000000" w:themeColor="text1"/>
          <w:sz w:val="24"/>
          <w:szCs w:val="24"/>
          <w:lang w:val="hr-HR"/>
        </w:rPr>
        <w:t>,</w:t>
      </w:r>
      <w:r w:rsidR="00772455">
        <w:rPr>
          <w:b/>
          <w:color w:val="000000" w:themeColor="text1"/>
          <w:sz w:val="24"/>
          <w:szCs w:val="24"/>
          <w:lang w:val="hr-HR"/>
        </w:rPr>
        <w:t xml:space="preserve"> </w:t>
      </w:r>
      <w:r w:rsidRPr="008517CB">
        <w:rPr>
          <w:color w:val="000000" w:themeColor="text1"/>
          <w:sz w:val="24"/>
          <w:szCs w:val="24"/>
          <w:lang w:val="la-Latn"/>
        </w:rPr>
        <w:t xml:space="preserve">Indija </w:t>
      </w:r>
      <w:r w:rsidR="00772455">
        <w:rPr>
          <w:color w:val="000000" w:themeColor="text1"/>
          <w:sz w:val="24"/>
          <w:szCs w:val="24"/>
          <w:lang w:val="la-Latn"/>
        </w:rPr>
        <w:t>14,5</w:t>
      </w:r>
      <w:r w:rsidRPr="008517CB">
        <w:rPr>
          <w:color w:val="000000" w:themeColor="text1"/>
          <w:sz w:val="24"/>
          <w:szCs w:val="24"/>
          <w:lang w:val="la-Latn"/>
        </w:rPr>
        <w:t xml:space="preserve">%, </w:t>
      </w:r>
      <w:r w:rsidR="00772455">
        <w:rPr>
          <w:color w:val="000000" w:themeColor="text1"/>
          <w:sz w:val="24"/>
          <w:szCs w:val="24"/>
          <w:lang w:val="la-Latn"/>
        </w:rPr>
        <w:t>Singapur  6</w:t>
      </w:r>
      <w:r w:rsidR="000F6272" w:rsidRPr="008517CB">
        <w:rPr>
          <w:color w:val="000000" w:themeColor="text1"/>
          <w:sz w:val="24"/>
          <w:szCs w:val="24"/>
          <w:lang w:val="la-Latn"/>
        </w:rPr>
        <w:t>,3%</w:t>
      </w:r>
      <w:r w:rsidR="0037475D" w:rsidRPr="008517CB">
        <w:rPr>
          <w:color w:val="000000" w:themeColor="text1"/>
          <w:sz w:val="24"/>
          <w:szCs w:val="24"/>
          <w:lang w:val="la-Latn"/>
        </w:rPr>
        <w:t>.</w:t>
      </w:r>
      <w:r w:rsidRPr="008517CB">
        <w:rPr>
          <w:color w:val="000000" w:themeColor="text1"/>
          <w:sz w:val="24"/>
          <w:szCs w:val="24"/>
          <w:lang w:val="la-Latn"/>
        </w:rPr>
        <w:t xml:space="preserve"> </w:t>
      </w:r>
    </w:p>
    <w:p w14:paraId="11EDBBEF" w14:textId="77777777" w:rsidR="0023486F" w:rsidRPr="008517CB" w:rsidRDefault="0023486F" w:rsidP="0023486F">
      <w:pPr>
        <w:pStyle w:val="INormal"/>
        <w:rPr>
          <w:color w:val="000000" w:themeColor="text1"/>
          <w:sz w:val="24"/>
          <w:szCs w:val="24"/>
          <w:lang w:val="la-Latn"/>
        </w:rPr>
      </w:pPr>
      <w:r w:rsidRPr="008517CB">
        <w:rPr>
          <w:b/>
          <w:color w:val="000000" w:themeColor="text1"/>
          <w:sz w:val="24"/>
          <w:szCs w:val="24"/>
          <w:lang w:val="la-Latn"/>
        </w:rPr>
        <w:t xml:space="preserve">Najznačajniji izvozni proizvodi: </w:t>
      </w:r>
      <w:r w:rsidRPr="008517CB">
        <w:rPr>
          <w:color w:val="000000" w:themeColor="text1"/>
          <w:sz w:val="24"/>
          <w:szCs w:val="24"/>
          <w:lang w:val="la-Latn"/>
        </w:rPr>
        <w:t>prirodni ukapljeni plin (LNG), n</w:t>
      </w:r>
      <w:r w:rsidR="00185B81" w:rsidRPr="008517CB">
        <w:rPr>
          <w:color w:val="000000" w:themeColor="text1"/>
          <w:sz w:val="24"/>
          <w:szCs w:val="24"/>
          <w:lang w:val="la-Latn"/>
        </w:rPr>
        <w:t>aftni proizvodi, gnojivo, čelik</w:t>
      </w:r>
      <w:r w:rsidR="0037475D" w:rsidRPr="008517CB">
        <w:rPr>
          <w:color w:val="000000" w:themeColor="text1"/>
          <w:sz w:val="24"/>
          <w:szCs w:val="24"/>
          <w:lang w:val="la-Latn"/>
        </w:rPr>
        <w:t>.</w:t>
      </w:r>
    </w:p>
    <w:p w14:paraId="684F6B95" w14:textId="119DBA8D" w:rsidR="000F6272" w:rsidRPr="00772455" w:rsidRDefault="000F6272" w:rsidP="000F6272">
      <w:pPr>
        <w:tabs>
          <w:tab w:val="left" w:pos="2268"/>
        </w:tabs>
        <w:rPr>
          <w:color w:val="000000" w:themeColor="text1"/>
          <w:sz w:val="24"/>
          <w:szCs w:val="24"/>
        </w:rPr>
      </w:pPr>
      <w:r w:rsidRPr="008517CB">
        <w:rPr>
          <w:b/>
          <w:color w:val="000000" w:themeColor="text1"/>
          <w:sz w:val="24"/>
          <w:szCs w:val="24"/>
          <w:lang w:val="la-Latn"/>
        </w:rPr>
        <w:t>Najznačajnije zemlje uvoza:</w:t>
      </w:r>
      <w:r w:rsidRPr="008517CB">
        <w:rPr>
          <w:color w:val="000000" w:themeColor="text1"/>
          <w:sz w:val="24"/>
          <w:szCs w:val="24"/>
          <w:lang w:val="la-Latn"/>
        </w:rPr>
        <w:t xml:space="preserve"> </w:t>
      </w:r>
      <w:r w:rsidR="00772455">
        <w:rPr>
          <w:color w:val="000000" w:themeColor="text1"/>
          <w:sz w:val="24"/>
          <w:szCs w:val="24"/>
        </w:rPr>
        <w:t xml:space="preserve">Kina 15,5%, </w:t>
      </w:r>
      <w:r w:rsidR="00772455">
        <w:rPr>
          <w:color w:val="000000" w:themeColor="text1"/>
          <w:sz w:val="24"/>
          <w:szCs w:val="24"/>
          <w:lang w:val="la-Latn"/>
        </w:rPr>
        <w:t>SAD 10,1</w:t>
      </w:r>
      <w:r w:rsidRPr="008517CB">
        <w:rPr>
          <w:color w:val="000000" w:themeColor="text1"/>
          <w:sz w:val="24"/>
          <w:szCs w:val="24"/>
          <w:lang w:val="la-Latn"/>
        </w:rPr>
        <w:t>%, V</w:t>
      </w:r>
      <w:r w:rsidR="005A7CC4" w:rsidRPr="008517CB">
        <w:rPr>
          <w:color w:val="000000" w:themeColor="text1"/>
          <w:sz w:val="24"/>
          <w:szCs w:val="24"/>
          <w:lang w:val="la-Latn"/>
        </w:rPr>
        <w:t xml:space="preserve">elika </w:t>
      </w:r>
      <w:r w:rsidRPr="008517CB">
        <w:rPr>
          <w:color w:val="000000" w:themeColor="text1"/>
          <w:sz w:val="24"/>
          <w:szCs w:val="24"/>
          <w:lang w:val="la-Latn"/>
        </w:rPr>
        <w:t>B</w:t>
      </w:r>
      <w:r w:rsidR="005A7CC4" w:rsidRPr="008517CB">
        <w:rPr>
          <w:color w:val="000000" w:themeColor="text1"/>
          <w:sz w:val="24"/>
          <w:szCs w:val="24"/>
          <w:lang w:val="la-Latn"/>
        </w:rPr>
        <w:t>ritanija</w:t>
      </w:r>
      <w:r w:rsidR="00772455">
        <w:rPr>
          <w:color w:val="000000" w:themeColor="text1"/>
          <w:sz w:val="24"/>
          <w:szCs w:val="24"/>
          <w:lang w:val="la-Latn"/>
        </w:rPr>
        <w:t xml:space="preserve"> 9</w:t>
      </w:r>
      <w:r w:rsidRPr="008517CB">
        <w:rPr>
          <w:color w:val="000000" w:themeColor="text1"/>
          <w:sz w:val="24"/>
          <w:szCs w:val="24"/>
          <w:lang w:val="la-Latn"/>
        </w:rPr>
        <w:t xml:space="preserve">%, </w:t>
      </w:r>
      <w:r w:rsidR="0040458A">
        <w:rPr>
          <w:color w:val="000000" w:themeColor="text1"/>
          <w:sz w:val="24"/>
          <w:szCs w:val="24"/>
        </w:rPr>
        <w:t>Indija</w:t>
      </w:r>
      <w:r w:rsidR="00772455">
        <w:rPr>
          <w:color w:val="000000" w:themeColor="text1"/>
          <w:sz w:val="24"/>
          <w:szCs w:val="24"/>
        </w:rPr>
        <w:t xml:space="preserve"> 6,7%, Njemačka 6,2.</w:t>
      </w:r>
    </w:p>
    <w:p w14:paraId="49DF0FF7" w14:textId="645A8E67" w:rsidR="00112D7A" w:rsidRDefault="0023486F" w:rsidP="00DB21EA">
      <w:pPr>
        <w:pStyle w:val="INormal"/>
        <w:rPr>
          <w:color w:val="000000" w:themeColor="text1"/>
          <w:sz w:val="24"/>
          <w:szCs w:val="24"/>
          <w:lang w:val="la-Latn"/>
        </w:rPr>
      </w:pPr>
      <w:r w:rsidRPr="008517CB">
        <w:rPr>
          <w:b/>
          <w:color w:val="000000" w:themeColor="text1"/>
          <w:sz w:val="24"/>
          <w:szCs w:val="24"/>
          <w:lang w:val="la-Latn"/>
        </w:rPr>
        <w:t xml:space="preserve">Najznačajniji uvozni proizvodi: </w:t>
      </w:r>
      <w:r w:rsidRPr="008517CB">
        <w:rPr>
          <w:color w:val="000000" w:themeColor="text1"/>
          <w:sz w:val="24"/>
          <w:szCs w:val="24"/>
          <w:lang w:val="la-Latn"/>
        </w:rPr>
        <w:t>strojevi i transportna oprema, hrana, kemikalije.</w:t>
      </w:r>
    </w:p>
    <w:p w14:paraId="0115E315" w14:textId="77777777" w:rsidR="009D2514" w:rsidRDefault="009D2514" w:rsidP="00DB21EA">
      <w:pPr>
        <w:pStyle w:val="INormal"/>
        <w:rPr>
          <w:color w:val="000000" w:themeColor="text1"/>
          <w:sz w:val="24"/>
          <w:szCs w:val="24"/>
          <w:lang w:val="la-Lat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B21EA" w:rsidRPr="008C08A4" w14:paraId="5DFEC48E" w14:textId="77777777" w:rsidTr="009D2514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42915F38" w14:textId="77777777" w:rsidR="00DB21EA" w:rsidRPr="008C08A4" w:rsidRDefault="00DB21EA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8C08A4">
              <w:rPr>
                <w:b/>
                <w:sz w:val="24"/>
                <w:szCs w:val="24"/>
                <w:lang w:val="la-Latn"/>
              </w:rPr>
              <w:t>Bilateralni gospodarski odnosi s Republikom Hrvatskom</w:t>
            </w:r>
          </w:p>
        </w:tc>
      </w:tr>
    </w:tbl>
    <w:p w14:paraId="11C753EE" w14:textId="77777777" w:rsidR="00DB21EA" w:rsidRPr="008C08A4" w:rsidRDefault="00DB21EA" w:rsidP="00DB21EA">
      <w:pPr>
        <w:pStyle w:val="INormal"/>
        <w:spacing w:after="0"/>
        <w:rPr>
          <w:rFonts w:eastAsia="Arial"/>
          <w:b/>
          <w:sz w:val="24"/>
          <w:szCs w:val="24"/>
          <w:lang w:val="la-Latn"/>
        </w:rPr>
      </w:pPr>
      <w:r w:rsidRPr="008C08A4">
        <w:rPr>
          <w:rFonts w:eastAsia="Arial"/>
          <w:b/>
          <w:sz w:val="24"/>
          <w:szCs w:val="24"/>
          <w:lang w:val="la-Latn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DB21EA" w:rsidRPr="008C08A4" w14:paraId="353AD2A5" w14:textId="77777777" w:rsidTr="00DB21EA">
        <w:tc>
          <w:tcPr>
            <w:tcW w:w="9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hideMark/>
          </w:tcPr>
          <w:p w14:paraId="26EB8ADC" w14:textId="77777777" w:rsidR="00DB21EA" w:rsidRPr="008C08A4" w:rsidRDefault="00DB21EA">
            <w:pPr>
              <w:pStyle w:val="IBul1"/>
              <w:numPr>
                <w:ilvl w:val="0"/>
                <w:numId w:val="0"/>
              </w:numPr>
              <w:tabs>
                <w:tab w:val="left" w:pos="708"/>
              </w:tabs>
              <w:spacing w:line="254" w:lineRule="auto"/>
              <w:jc w:val="center"/>
              <w:rPr>
                <w:b/>
                <w:sz w:val="24"/>
                <w:szCs w:val="24"/>
                <w:lang w:val="la-Latn"/>
              </w:rPr>
            </w:pPr>
            <w:r w:rsidRPr="008C08A4">
              <w:rPr>
                <w:b/>
                <w:sz w:val="24"/>
                <w:szCs w:val="24"/>
                <w:lang w:val="la-Latn"/>
              </w:rPr>
              <w:t>Robna razmjena</w:t>
            </w:r>
          </w:p>
        </w:tc>
      </w:tr>
    </w:tbl>
    <w:p w14:paraId="2CAFCAAD" w14:textId="77777777" w:rsidR="00112D7A" w:rsidRPr="003A48BA" w:rsidRDefault="008C3671" w:rsidP="009B22C0">
      <w:pPr>
        <w:pStyle w:val="INormal"/>
        <w:spacing w:after="0"/>
        <w:ind w:right="-286"/>
        <w:jc w:val="center"/>
        <w:rPr>
          <w:rFonts w:cs="Arial"/>
          <w:i/>
          <w:lang w:val="la-Latn"/>
        </w:rPr>
      </w:pPr>
      <w:r w:rsidRPr="008C08A4">
        <w:rPr>
          <w:rFonts w:cs="Arial"/>
          <w:i/>
          <w:lang w:val="la-Latn"/>
        </w:rPr>
        <w:t xml:space="preserve">                                                                                            </w:t>
      </w:r>
      <w:r w:rsidR="00502834" w:rsidRPr="008C08A4">
        <w:rPr>
          <w:rFonts w:cs="Arial"/>
          <w:i/>
          <w:lang w:val="la-Latn"/>
        </w:rPr>
        <w:t xml:space="preserve">                   </w:t>
      </w:r>
      <w:r w:rsidRPr="008C08A4">
        <w:rPr>
          <w:rFonts w:cs="Arial"/>
          <w:i/>
          <w:lang w:val="la-Latn"/>
        </w:rPr>
        <w:t xml:space="preserve">            </w:t>
      </w:r>
      <w:r w:rsidR="00AF2E4A">
        <w:rPr>
          <w:rFonts w:cs="Arial"/>
          <w:i/>
          <w:lang w:val="la-Latn"/>
        </w:rPr>
        <w:t xml:space="preserve">    </w:t>
      </w:r>
      <w:r w:rsidR="003A48BA" w:rsidRPr="003A48BA">
        <w:rPr>
          <w:rFonts w:cs="Arial"/>
          <w:i/>
          <w:lang w:val="la-Latn"/>
        </w:rPr>
        <w:t>u</w:t>
      </w:r>
      <w:r w:rsidR="00481EEC" w:rsidRPr="003A48BA">
        <w:rPr>
          <w:rFonts w:cs="Arial"/>
          <w:i/>
          <w:lang w:val="la-Latn"/>
        </w:rPr>
        <w:t xml:space="preserve"> milijunima </w:t>
      </w:r>
      <w:r w:rsidR="00C24196" w:rsidRPr="003A48BA">
        <w:rPr>
          <w:rFonts w:cs="Arial"/>
          <w:i/>
          <w:lang w:val="la-Latn"/>
        </w:rPr>
        <w:t>USD</w:t>
      </w:r>
    </w:p>
    <w:tbl>
      <w:tblPr>
        <w:tblW w:w="920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977"/>
        <w:gridCol w:w="1389"/>
        <w:gridCol w:w="1389"/>
        <w:gridCol w:w="1049"/>
        <w:gridCol w:w="1559"/>
        <w:gridCol w:w="1843"/>
      </w:tblGrid>
      <w:tr w:rsidR="001A3501" w:rsidRPr="008C08A4" w14:paraId="5AFF59F0" w14:textId="13C6D0DD" w:rsidTr="00AC53F6">
        <w:trPr>
          <w:trHeight w:val="397"/>
          <w:tblCellSpacing w:w="20" w:type="dxa"/>
        </w:trPr>
        <w:tc>
          <w:tcPr>
            <w:tcW w:w="1917" w:type="dxa"/>
            <w:shd w:val="clear" w:color="auto" w:fill="9CC2E5" w:themeFill="accent1" w:themeFillTint="99"/>
            <w:vAlign w:val="center"/>
          </w:tcPr>
          <w:p w14:paraId="6EFF144E" w14:textId="77777777" w:rsidR="001A3501" w:rsidRPr="003A48BA" w:rsidRDefault="001A3501" w:rsidP="006776DA">
            <w:pPr>
              <w:rPr>
                <w:rFonts w:eastAsia="Arial"/>
              </w:rPr>
            </w:pPr>
          </w:p>
        </w:tc>
        <w:tc>
          <w:tcPr>
            <w:tcW w:w="1349" w:type="dxa"/>
            <w:shd w:val="clear" w:color="auto" w:fill="9CC2E5" w:themeFill="accent1" w:themeFillTint="99"/>
            <w:vAlign w:val="center"/>
          </w:tcPr>
          <w:p w14:paraId="27AB55F4" w14:textId="77777777" w:rsidR="001A3501" w:rsidRPr="006776DA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2021.</w:t>
            </w:r>
          </w:p>
        </w:tc>
        <w:tc>
          <w:tcPr>
            <w:tcW w:w="1349" w:type="dxa"/>
            <w:shd w:val="clear" w:color="auto" w:fill="9CC2E5" w:themeFill="accent1" w:themeFillTint="99"/>
            <w:vAlign w:val="center"/>
          </w:tcPr>
          <w:p w14:paraId="730D2989" w14:textId="01848F72" w:rsidR="001A3501" w:rsidRPr="006776DA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2022.</w:t>
            </w:r>
          </w:p>
        </w:tc>
        <w:tc>
          <w:tcPr>
            <w:tcW w:w="1009" w:type="dxa"/>
            <w:shd w:val="clear" w:color="auto" w:fill="9CC2E5" w:themeFill="accent1" w:themeFillTint="99"/>
          </w:tcPr>
          <w:p w14:paraId="243A804B" w14:textId="38A97AB3" w:rsidR="001A3501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2023.</w:t>
            </w:r>
          </w:p>
        </w:tc>
        <w:tc>
          <w:tcPr>
            <w:tcW w:w="1519" w:type="dxa"/>
            <w:shd w:val="clear" w:color="auto" w:fill="9CC2E5" w:themeFill="accent1" w:themeFillTint="99"/>
          </w:tcPr>
          <w:p w14:paraId="71F796DC" w14:textId="281C835D" w:rsidR="001A3501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2024.</w:t>
            </w:r>
          </w:p>
        </w:tc>
        <w:tc>
          <w:tcPr>
            <w:tcW w:w="1783" w:type="dxa"/>
            <w:shd w:val="clear" w:color="auto" w:fill="9CC2E5" w:themeFill="accent1" w:themeFillTint="99"/>
          </w:tcPr>
          <w:p w14:paraId="4D4764C2" w14:textId="3EA4A5E3" w:rsidR="001A3501" w:rsidRDefault="001A3501" w:rsidP="006776DA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>
              <w:rPr>
                <w:rFonts w:eastAsia="Arial"/>
                <w:b/>
                <w:sz w:val="24"/>
                <w:szCs w:val="24"/>
              </w:rPr>
              <w:t>2025.</w:t>
            </w:r>
            <w:r w:rsidR="00CF31CD">
              <w:rPr>
                <w:rFonts w:eastAsia="Arial"/>
                <w:b/>
                <w:sz w:val="24"/>
                <w:szCs w:val="24"/>
              </w:rPr>
              <w:t xml:space="preserve"> I.-VI</w:t>
            </w:r>
          </w:p>
        </w:tc>
      </w:tr>
      <w:tr w:rsidR="00516D51" w:rsidRPr="008C08A4" w14:paraId="028C2286" w14:textId="46F14257" w:rsidTr="00AC53F6">
        <w:trPr>
          <w:trHeight w:val="399"/>
          <w:tblCellSpacing w:w="20" w:type="dxa"/>
        </w:trPr>
        <w:tc>
          <w:tcPr>
            <w:tcW w:w="1917" w:type="dxa"/>
            <w:shd w:val="clear" w:color="auto" w:fill="9CC2E5" w:themeFill="accent1" w:themeFillTint="99"/>
            <w:vAlign w:val="center"/>
          </w:tcPr>
          <w:p w14:paraId="112A3F0E" w14:textId="77777777" w:rsidR="00516D51" w:rsidRPr="008C08A4" w:rsidRDefault="00516D51" w:rsidP="00516D51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IZVOZ</w:t>
            </w:r>
          </w:p>
        </w:tc>
        <w:tc>
          <w:tcPr>
            <w:tcW w:w="1349" w:type="dxa"/>
            <w:shd w:val="clear" w:color="auto" w:fill="FFFFFF"/>
          </w:tcPr>
          <w:p w14:paraId="2B4328A9" w14:textId="77777777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23,6</w:t>
            </w:r>
          </w:p>
        </w:tc>
        <w:tc>
          <w:tcPr>
            <w:tcW w:w="1349" w:type="dxa"/>
            <w:shd w:val="clear" w:color="auto" w:fill="FFFFFF"/>
          </w:tcPr>
          <w:p w14:paraId="4A7B983C" w14:textId="6F7EA3AD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14,7 </w:t>
            </w:r>
          </w:p>
        </w:tc>
        <w:tc>
          <w:tcPr>
            <w:tcW w:w="1009" w:type="dxa"/>
            <w:shd w:val="clear" w:color="auto" w:fill="FFFFFF"/>
          </w:tcPr>
          <w:p w14:paraId="251F8167" w14:textId="62F271D1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6,5 </w:t>
            </w:r>
          </w:p>
        </w:tc>
        <w:tc>
          <w:tcPr>
            <w:tcW w:w="1519" w:type="dxa"/>
            <w:shd w:val="clear" w:color="auto" w:fill="FFFFFF"/>
          </w:tcPr>
          <w:p w14:paraId="790E6587" w14:textId="3D89BB78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12,4 </w:t>
            </w:r>
          </w:p>
        </w:tc>
        <w:tc>
          <w:tcPr>
            <w:tcW w:w="1783" w:type="dxa"/>
            <w:shd w:val="clear" w:color="auto" w:fill="FFFFFF"/>
          </w:tcPr>
          <w:p w14:paraId="308AD19B" w14:textId="0C6B4C2A" w:rsidR="00516D51" w:rsidRPr="00CF31CD" w:rsidRDefault="00AC53F6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6</w:t>
            </w:r>
          </w:p>
        </w:tc>
      </w:tr>
      <w:tr w:rsidR="00516D51" w:rsidRPr="008C08A4" w14:paraId="0B1141AF" w14:textId="58980485" w:rsidTr="00AC53F6">
        <w:trPr>
          <w:trHeight w:val="399"/>
          <w:tblCellSpacing w:w="20" w:type="dxa"/>
        </w:trPr>
        <w:tc>
          <w:tcPr>
            <w:tcW w:w="1917" w:type="dxa"/>
            <w:shd w:val="clear" w:color="auto" w:fill="9CC2E5" w:themeFill="accent1" w:themeFillTint="99"/>
            <w:vAlign w:val="center"/>
          </w:tcPr>
          <w:p w14:paraId="5515114C" w14:textId="77777777" w:rsidR="00516D51" w:rsidRPr="008C08A4" w:rsidRDefault="00516D51" w:rsidP="00516D51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UVOZ</w:t>
            </w:r>
          </w:p>
        </w:tc>
        <w:tc>
          <w:tcPr>
            <w:tcW w:w="1349" w:type="dxa"/>
            <w:shd w:val="clear" w:color="auto" w:fill="FFFFFF"/>
          </w:tcPr>
          <w:p w14:paraId="1B66FBC4" w14:textId="77777777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74,3</w:t>
            </w:r>
          </w:p>
        </w:tc>
        <w:tc>
          <w:tcPr>
            <w:tcW w:w="1349" w:type="dxa"/>
            <w:shd w:val="clear" w:color="auto" w:fill="FFFFFF"/>
          </w:tcPr>
          <w:p w14:paraId="58D55456" w14:textId="11747EC0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227,4 </w:t>
            </w:r>
          </w:p>
        </w:tc>
        <w:tc>
          <w:tcPr>
            <w:tcW w:w="1009" w:type="dxa"/>
            <w:shd w:val="clear" w:color="auto" w:fill="FFFFFF"/>
          </w:tcPr>
          <w:p w14:paraId="4D2F8F07" w14:textId="590980B2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2,8 </w:t>
            </w:r>
          </w:p>
        </w:tc>
        <w:tc>
          <w:tcPr>
            <w:tcW w:w="1519" w:type="dxa"/>
            <w:shd w:val="clear" w:color="auto" w:fill="FFFFFF"/>
          </w:tcPr>
          <w:p w14:paraId="6DDFD203" w14:textId="32D363D1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1,1 </w:t>
            </w:r>
          </w:p>
        </w:tc>
        <w:tc>
          <w:tcPr>
            <w:tcW w:w="1783" w:type="dxa"/>
            <w:shd w:val="clear" w:color="auto" w:fill="FFFFFF"/>
          </w:tcPr>
          <w:p w14:paraId="5AF23AA8" w14:textId="11D89FF8" w:rsidR="00516D51" w:rsidRPr="00CF31CD" w:rsidRDefault="00AC53F6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1,6</w:t>
            </w:r>
          </w:p>
        </w:tc>
      </w:tr>
      <w:tr w:rsidR="00516D51" w:rsidRPr="008C08A4" w14:paraId="55732641" w14:textId="19C11ECB" w:rsidTr="00AC53F6">
        <w:trPr>
          <w:trHeight w:val="399"/>
          <w:tblCellSpacing w:w="20" w:type="dxa"/>
        </w:trPr>
        <w:tc>
          <w:tcPr>
            <w:tcW w:w="1917" w:type="dxa"/>
            <w:shd w:val="clear" w:color="auto" w:fill="9CC2E5" w:themeFill="accent1" w:themeFillTint="99"/>
            <w:vAlign w:val="center"/>
          </w:tcPr>
          <w:p w14:paraId="30119344" w14:textId="77777777" w:rsidR="00516D51" w:rsidRPr="008C08A4" w:rsidRDefault="00516D51" w:rsidP="00516D51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UKUPNO</w:t>
            </w:r>
          </w:p>
        </w:tc>
        <w:tc>
          <w:tcPr>
            <w:tcW w:w="1349" w:type="dxa"/>
            <w:shd w:val="clear" w:color="auto" w:fill="FFFFFF"/>
          </w:tcPr>
          <w:p w14:paraId="1C98B8B3" w14:textId="77777777" w:rsidR="00516D51" w:rsidRPr="0015650F" w:rsidRDefault="00516D51" w:rsidP="00516D51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15650F">
              <w:rPr>
                <w:rFonts w:eastAsia="Arial"/>
                <w:b/>
                <w:bCs/>
                <w:sz w:val="24"/>
                <w:szCs w:val="24"/>
                <w:lang w:val="la-Latn"/>
              </w:rPr>
              <w:t>97,9</w:t>
            </w:r>
          </w:p>
        </w:tc>
        <w:tc>
          <w:tcPr>
            <w:tcW w:w="1349" w:type="dxa"/>
            <w:shd w:val="clear" w:color="auto" w:fill="FFFFFF"/>
          </w:tcPr>
          <w:p w14:paraId="29F274AF" w14:textId="6F88470C" w:rsidR="00516D51" w:rsidRPr="0015650F" w:rsidRDefault="00516D51" w:rsidP="00516D51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15650F">
              <w:rPr>
                <w:rFonts w:eastAsia="Arial"/>
                <w:b/>
                <w:bCs/>
                <w:sz w:val="24"/>
                <w:szCs w:val="24"/>
                <w:lang w:val="la-Latn"/>
              </w:rPr>
              <w:t xml:space="preserve">242,1 </w:t>
            </w:r>
          </w:p>
        </w:tc>
        <w:tc>
          <w:tcPr>
            <w:tcW w:w="1009" w:type="dxa"/>
            <w:shd w:val="clear" w:color="auto" w:fill="FFFFFF"/>
          </w:tcPr>
          <w:p w14:paraId="69BFF90B" w14:textId="49B69B2A" w:rsidR="00516D51" w:rsidRPr="0015650F" w:rsidRDefault="00516D51" w:rsidP="00516D51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15650F">
              <w:rPr>
                <w:rFonts w:eastAsia="Arial"/>
                <w:b/>
                <w:bCs/>
                <w:sz w:val="24"/>
                <w:szCs w:val="24"/>
                <w:lang w:val="la-Latn"/>
              </w:rPr>
              <w:t xml:space="preserve">9,3 </w:t>
            </w:r>
          </w:p>
        </w:tc>
        <w:tc>
          <w:tcPr>
            <w:tcW w:w="1519" w:type="dxa"/>
            <w:shd w:val="clear" w:color="auto" w:fill="FFFFFF"/>
          </w:tcPr>
          <w:p w14:paraId="1C5774A7" w14:textId="0BDF6639" w:rsidR="00516D51" w:rsidRPr="0015650F" w:rsidRDefault="00516D51" w:rsidP="00516D51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15650F">
              <w:rPr>
                <w:rFonts w:eastAsia="Arial"/>
                <w:b/>
                <w:bCs/>
                <w:sz w:val="24"/>
                <w:szCs w:val="24"/>
                <w:lang w:val="la-Latn"/>
              </w:rPr>
              <w:t xml:space="preserve">13,5 </w:t>
            </w:r>
          </w:p>
        </w:tc>
        <w:tc>
          <w:tcPr>
            <w:tcW w:w="1783" w:type="dxa"/>
            <w:shd w:val="clear" w:color="auto" w:fill="FFFFFF"/>
          </w:tcPr>
          <w:p w14:paraId="20C70A78" w14:textId="5C17A317" w:rsidR="00516D51" w:rsidRPr="0015650F" w:rsidRDefault="00AC53F6" w:rsidP="00516D51">
            <w:pPr>
              <w:jc w:val="center"/>
              <w:rPr>
                <w:rFonts w:eastAsia="Arial"/>
                <w:b/>
                <w:bCs/>
                <w:sz w:val="24"/>
                <w:szCs w:val="24"/>
                <w:lang w:val="la-Latn"/>
              </w:rPr>
            </w:pPr>
            <w:r w:rsidRPr="0015650F">
              <w:rPr>
                <w:rFonts w:eastAsia="Arial"/>
                <w:b/>
                <w:bCs/>
                <w:sz w:val="24"/>
                <w:szCs w:val="24"/>
                <w:lang w:val="la-Latn"/>
              </w:rPr>
              <w:t>7,6</w:t>
            </w:r>
          </w:p>
        </w:tc>
      </w:tr>
      <w:tr w:rsidR="00516D51" w:rsidRPr="008C08A4" w14:paraId="7477BFB5" w14:textId="0EE96454" w:rsidTr="00AC53F6">
        <w:trPr>
          <w:trHeight w:val="384"/>
          <w:tblCellSpacing w:w="20" w:type="dxa"/>
        </w:trPr>
        <w:tc>
          <w:tcPr>
            <w:tcW w:w="1917" w:type="dxa"/>
            <w:shd w:val="clear" w:color="auto" w:fill="9CC2E5" w:themeFill="accent1" w:themeFillTint="99"/>
            <w:vAlign w:val="center"/>
          </w:tcPr>
          <w:p w14:paraId="3D8F6CCC" w14:textId="77777777" w:rsidR="00516D51" w:rsidRPr="008C08A4" w:rsidRDefault="00516D51" w:rsidP="00516D51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8C08A4">
              <w:rPr>
                <w:rFonts w:eastAsia="Arial"/>
                <w:b/>
                <w:sz w:val="24"/>
                <w:szCs w:val="24"/>
                <w:lang w:val="la-Latn"/>
              </w:rPr>
              <w:t>RAZLIKA</w:t>
            </w:r>
          </w:p>
        </w:tc>
        <w:tc>
          <w:tcPr>
            <w:tcW w:w="1349" w:type="dxa"/>
            <w:shd w:val="clear" w:color="auto" w:fill="FFFFFF"/>
          </w:tcPr>
          <w:p w14:paraId="664A408F" w14:textId="77777777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-50,6</w:t>
            </w:r>
          </w:p>
        </w:tc>
        <w:tc>
          <w:tcPr>
            <w:tcW w:w="1349" w:type="dxa"/>
            <w:shd w:val="clear" w:color="auto" w:fill="FFFFFF"/>
          </w:tcPr>
          <w:p w14:paraId="499BAE3A" w14:textId="1D24A7FB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-212,7</w:t>
            </w:r>
          </w:p>
        </w:tc>
        <w:tc>
          <w:tcPr>
            <w:tcW w:w="1009" w:type="dxa"/>
            <w:shd w:val="clear" w:color="auto" w:fill="FFFFFF"/>
          </w:tcPr>
          <w:p w14:paraId="23F0D857" w14:textId="7FF1C1F5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3,7</w:t>
            </w:r>
          </w:p>
        </w:tc>
        <w:tc>
          <w:tcPr>
            <w:tcW w:w="1519" w:type="dxa"/>
            <w:shd w:val="clear" w:color="auto" w:fill="FFFFFF"/>
          </w:tcPr>
          <w:p w14:paraId="6F381D08" w14:textId="4C510A5D" w:rsidR="00516D51" w:rsidRPr="00CF31CD" w:rsidRDefault="00516D51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11,3</w:t>
            </w:r>
          </w:p>
        </w:tc>
        <w:tc>
          <w:tcPr>
            <w:tcW w:w="1783" w:type="dxa"/>
            <w:shd w:val="clear" w:color="auto" w:fill="FFFFFF"/>
          </w:tcPr>
          <w:p w14:paraId="2ABAAFFA" w14:textId="2D91F377" w:rsidR="00516D51" w:rsidRPr="00CF31CD" w:rsidRDefault="00AC53F6" w:rsidP="00516D51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4,4</w:t>
            </w:r>
          </w:p>
        </w:tc>
      </w:tr>
    </w:tbl>
    <w:p w14:paraId="31027E63" w14:textId="1F63AC98" w:rsidR="00112D7A" w:rsidRDefault="00112D7A" w:rsidP="00112D7A">
      <w:pPr>
        <w:pStyle w:val="INormal"/>
        <w:rPr>
          <w:rFonts w:cs="Arial"/>
          <w:i/>
          <w:lang w:val="la-Latn"/>
        </w:rPr>
      </w:pPr>
      <w:r w:rsidRPr="008C08A4">
        <w:rPr>
          <w:rFonts w:cs="Arial"/>
          <w:i/>
          <w:lang w:val="la-Latn"/>
        </w:rPr>
        <w:t xml:space="preserve">Izvor: </w:t>
      </w:r>
      <w:r w:rsidR="004C5A0F" w:rsidRPr="008C08A4">
        <w:rPr>
          <w:rFonts w:cs="Arial"/>
          <w:i/>
          <w:lang w:val="la-Latn"/>
        </w:rPr>
        <w:t>DZS</w:t>
      </w:r>
    </w:p>
    <w:tbl>
      <w:tblPr>
        <w:tblW w:w="9024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410"/>
        <w:gridCol w:w="3854"/>
        <w:gridCol w:w="1701"/>
        <w:gridCol w:w="1206"/>
      </w:tblGrid>
      <w:tr w:rsidR="00720EC7" w:rsidRPr="005037D0" w14:paraId="3E901B8E" w14:textId="77777777" w:rsidTr="00983579">
        <w:trPr>
          <w:trHeight w:val="539"/>
          <w:tblCellSpacing w:w="20" w:type="dxa"/>
        </w:trPr>
        <w:tc>
          <w:tcPr>
            <w:tcW w:w="8944" w:type="dxa"/>
            <w:gridSpan w:val="5"/>
            <w:shd w:val="clear" w:color="auto" w:fill="9CC2E5" w:themeFill="accent1" w:themeFillTint="99"/>
            <w:vAlign w:val="center"/>
          </w:tcPr>
          <w:p w14:paraId="15A037F9" w14:textId="77777777" w:rsidR="00720EC7" w:rsidRPr="005037D0" w:rsidRDefault="00720EC7" w:rsidP="00983579">
            <w:pPr>
              <w:rPr>
                <w:rFonts w:eastAsia="Arial"/>
                <w:b/>
                <w:sz w:val="24"/>
                <w:szCs w:val="24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STRUKTURA NAJZNAČAJNIJIH IZVOZNIH PROIZVODA</w:t>
            </w:r>
            <w:r w:rsidRPr="005037D0">
              <w:rPr>
                <w:rFonts w:eastAsia="Arial"/>
                <w:b/>
                <w:sz w:val="24"/>
                <w:szCs w:val="24"/>
              </w:rPr>
              <w:t>, 2025. I.-VI</w:t>
            </w:r>
          </w:p>
        </w:tc>
      </w:tr>
      <w:tr w:rsidR="00720EC7" w:rsidRPr="005037D0" w14:paraId="5626D896" w14:textId="77777777" w:rsidTr="00983579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397DF718" w14:textId="77777777" w:rsidR="00720EC7" w:rsidRPr="005037D0" w:rsidRDefault="00720EC7" w:rsidP="00983579">
            <w:pPr>
              <w:jc w:val="center"/>
              <w:rPr>
                <w:rFonts w:eastAsia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b/>
                <w:sz w:val="24"/>
                <w:szCs w:val="24"/>
                <w:lang w:val="la-Latn"/>
              </w:rPr>
              <w:t>R.br.</w:t>
            </w:r>
          </w:p>
        </w:tc>
        <w:tc>
          <w:tcPr>
            <w:tcW w:w="1370" w:type="dxa"/>
            <w:shd w:val="clear" w:color="auto" w:fill="FFFFFF"/>
            <w:vAlign w:val="center"/>
          </w:tcPr>
          <w:p w14:paraId="307D2BC3" w14:textId="77777777" w:rsidR="00720EC7" w:rsidRPr="005037D0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Tarifna oznaka</w:t>
            </w:r>
          </w:p>
        </w:tc>
        <w:tc>
          <w:tcPr>
            <w:tcW w:w="3814" w:type="dxa"/>
            <w:shd w:val="clear" w:color="auto" w:fill="FFFFFF"/>
            <w:vAlign w:val="center"/>
          </w:tcPr>
          <w:p w14:paraId="4D049BB9" w14:textId="77777777" w:rsidR="00720EC7" w:rsidRPr="005037D0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Naziv robe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44D6F7C6" w14:textId="77777777" w:rsidR="00720EC7" w:rsidRPr="005037D0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USD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05EC5288" w14:textId="77777777" w:rsidR="00720EC7" w:rsidRPr="005037D0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%</w:t>
            </w:r>
          </w:p>
        </w:tc>
      </w:tr>
      <w:tr w:rsidR="00CF31CD" w:rsidRPr="005037D0" w14:paraId="2B515F58" w14:textId="77777777" w:rsidTr="00DD7F83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B4FE0A3" w14:textId="77777777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1.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3269A781" w14:textId="7585750A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4407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1A4BD4FC" w14:textId="2A6CF1D8" w:rsidR="00CF31CD" w:rsidRPr="005037D0" w:rsidRDefault="00CF31CD" w:rsidP="00CF31CD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Drvo obrađeno 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6A368835" w14:textId="3086B427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3.788.186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49145017" w14:textId="3AB9F6FD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62,6%</w:t>
            </w:r>
          </w:p>
        </w:tc>
      </w:tr>
      <w:tr w:rsidR="00CF31CD" w:rsidRPr="005037D0" w14:paraId="745B7FD1" w14:textId="77777777" w:rsidTr="00DD7F83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6BC37667" w14:textId="77777777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  <w:lang w:val="la-Latn"/>
              </w:rPr>
              <w:t>2.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44A2398A" w14:textId="73CE0FB5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8504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1E86412C" w14:textId="2A3EC9B8" w:rsidR="00CF31CD" w:rsidRPr="005037D0" w:rsidRDefault="00CF31CD" w:rsidP="00CF31CD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Električni transformatori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1F7EE6E4" w14:textId="45CD5955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1.600.306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626C6B41" w14:textId="71E8E246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26,5%</w:t>
            </w:r>
          </w:p>
        </w:tc>
      </w:tr>
      <w:tr w:rsidR="00CF31CD" w:rsidRPr="005037D0" w14:paraId="7652D486" w14:textId="77777777" w:rsidTr="00DD7F83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754361A5" w14:textId="77777777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5037D0">
              <w:rPr>
                <w:rFonts w:eastAsia="Arial"/>
                <w:sz w:val="24"/>
                <w:szCs w:val="24"/>
              </w:rPr>
              <w:t>3</w:t>
            </w:r>
            <w:r w:rsidRPr="005037D0">
              <w:rPr>
                <w:rFonts w:eastAsia="Arial"/>
                <w:sz w:val="24"/>
                <w:szCs w:val="24"/>
                <w:lang w:val="la-Latn"/>
              </w:rPr>
              <w:t>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3505E65C" w14:textId="6B5C5A1E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9405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3E633528" w14:textId="2629C793" w:rsidR="00CF31CD" w:rsidRPr="005037D0" w:rsidRDefault="00CF31CD" w:rsidP="00CF31CD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Svjetiljke i druga rasvjetna tijela uključujući reflektore i njihovi dijelovi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7EFB2249" w14:textId="2BDA1FE1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145.598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035F33CC" w14:textId="6A05CD88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2,4%</w:t>
            </w:r>
          </w:p>
        </w:tc>
      </w:tr>
      <w:tr w:rsidR="00CF31CD" w:rsidRPr="005037D0" w14:paraId="48A87344" w14:textId="77777777" w:rsidTr="00DD7F83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62B01A74" w14:textId="77777777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5037D0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18F3C50F" w14:textId="62EAD75A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8530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5ADBA006" w14:textId="551232B6" w:rsidR="00CF31CD" w:rsidRPr="005037D0" w:rsidRDefault="00CF31CD" w:rsidP="00CF31CD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Električna oprema za signalizaciju, sigurnost, 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3696DC46" w14:textId="36304AB5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139.015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548D37F4" w14:textId="75AECC61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2,3%</w:t>
            </w:r>
          </w:p>
        </w:tc>
      </w:tr>
      <w:tr w:rsidR="00CF31CD" w:rsidRPr="005037D0" w14:paraId="69C27BEE" w14:textId="77777777" w:rsidTr="00DD7F83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015AD990" w14:textId="77777777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5037D0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0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15592555" w14:textId="30D0377D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2710</w:t>
            </w:r>
          </w:p>
        </w:tc>
        <w:tc>
          <w:tcPr>
            <w:tcW w:w="381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17F9F451" w14:textId="3A2B5FC7" w:rsidR="00CF31CD" w:rsidRPr="005037D0" w:rsidRDefault="00CF31CD" w:rsidP="00CF31CD">
            <w:pPr>
              <w:jc w:val="left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 xml:space="preserve">Naftna ulja i ulja, dobivena od bitumenskih minerala </w:t>
            </w:r>
          </w:p>
        </w:tc>
        <w:tc>
          <w:tcPr>
            <w:tcW w:w="166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6B1E7C83" w14:textId="2D0622EC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136.098</w:t>
            </w:r>
          </w:p>
        </w:tc>
        <w:tc>
          <w:tcPr>
            <w:tcW w:w="1146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shd w:val="clear" w:color="auto" w:fill="auto"/>
          </w:tcPr>
          <w:p w14:paraId="0B9B8ED0" w14:textId="5F76721A" w:rsidR="00CF31CD" w:rsidRPr="005037D0" w:rsidRDefault="00CF31CD" w:rsidP="00CF31CD">
            <w:pPr>
              <w:jc w:val="center"/>
              <w:rPr>
                <w:rFonts w:eastAsia="Arial"/>
                <w:sz w:val="24"/>
                <w:szCs w:val="24"/>
                <w:lang w:val="la-Latn"/>
              </w:rPr>
            </w:pPr>
            <w:r w:rsidRPr="00CF31CD">
              <w:rPr>
                <w:rFonts w:eastAsia="Arial"/>
                <w:sz w:val="24"/>
                <w:szCs w:val="24"/>
                <w:lang w:val="la-Latn"/>
              </w:rPr>
              <w:t>2,2%</w:t>
            </w:r>
          </w:p>
        </w:tc>
      </w:tr>
      <w:tr w:rsidR="00720EC7" w:rsidRPr="005037D0" w14:paraId="2D3A47D0" w14:textId="77777777" w:rsidTr="00983579">
        <w:trPr>
          <w:trHeight w:val="392"/>
          <w:tblCellSpacing w:w="20" w:type="dxa"/>
        </w:trPr>
        <w:tc>
          <w:tcPr>
            <w:tcW w:w="6057" w:type="dxa"/>
            <w:gridSpan w:val="3"/>
            <w:shd w:val="clear" w:color="auto" w:fill="FFFFFF"/>
            <w:vAlign w:val="center"/>
          </w:tcPr>
          <w:p w14:paraId="65194668" w14:textId="77777777" w:rsidR="00720EC7" w:rsidRPr="005037D0" w:rsidRDefault="00720EC7" w:rsidP="00983579">
            <w:pPr>
              <w:pStyle w:val="INormal"/>
              <w:jc w:val="left"/>
              <w:rPr>
                <w:rFonts w:eastAsia="Arial" w:cs="Arial"/>
                <w:b/>
                <w:bCs/>
                <w:sz w:val="24"/>
                <w:szCs w:val="24"/>
                <w:lang w:val="la-Latn"/>
              </w:rPr>
            </w:pPr>
            <w:r w:rsidRPr="005037D0">
              <w:rPr>
                <w:rFonts w:eastAsia="Arial" w:cs="Arial"/>
                <w:b/>
                <w:bCs/>
                <w:sz w:val="24"/>
                <w:szCs w:val="24"/>
                <w:lang w:val="la-Latn"/>
              </w:rPr>
              <w:t>Prikazan izvoz</w:t>
            </w:r>
          </w:p>
        </w:tc>
        <w:tc>
          <w:tcPr>
            <w:tcW w:w="1661" w:type="dxa"/>
            <w:shd w:val="clear" w:color="auto" w:fill="FFFFFF"/>
            <w:vAlign w:val="center"/>
          </w:tcPr>
          <w:p w14:paraId="15AEE1AB" w14:textId="2CB04C4A" w:rsidR="00720EC7" w:rsidRPr="00371A8D" w:rsidRDefault="0015650F" w:rsidP="00983579">
            <w:pPr>
              <w:jc w:val="center"/>
              <w:rPr>
                <w:b/>
                <w:sz w:val="24"/>
                <w:szCs w:val="24"/>
                <w:lang w:val="la-Latn"/>
              </w:rPr>
            </w:pPr>
            <w:r w:rsidRPr="0015650F">
              <w:rPr>
                <w:b/>
                <w:sz w:val="24"/>
                <w:szCs w:val="24"/>
                <w:lang w:val="la-Latn"/>
              </w:rPr>
              <w:t>5.809.203</w:t>
            </w:r>
          </w:p>
        </w:tc>
        <w:tc>
          <w:tcPr>
            <w:tcW w:w="1146" w:type="dxa"/>
            <w:shd w:val="clear" w:color="auto" w:fill="FFFFFF"/>
            <w:vAlign w:val="center"/>
          </w:tcPr>
          <w:p w14:paraId="71142773" w14:textId="2072E3D3" w:rsidR="00720EC7" w:rsidRPr="0015650F" w:rsidRDefault="0015650F" w:rsidP="0098357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96</w:t>
            </w:r>
          </w:p>
        </w:tc>
      </w:tr>
      <w:tr w:rsidR="00CF31CD" w:rsidRPr="005037D0" w14:paraId="2F3FB552" w14:textId="77777777" w:rsidTr="006A6A15">
        <w:trPr>
          <w:trHeight w:val="392"/>
          <w:tblCellSpacing w:w="20" w:type="dxa"/>
        </w:trPr>
        <w:tc>
          <w:tcPr>
            <w:tcW w:w="6057" w:type="dxa"/>
            <w:gridSpan w:val="3"/>
            <w:shd w:val="clear" w:color="auto" w:fill="FFFFFF"/>
            <w:vAlign w:val="center"/>
          </w:tcPr>
          <w:p w14:paraId="2FE1B2BB" w14:textId="77777777" w:rsidR="00CF31CD" w:rsidRPr="005037D0" w:rsidRDefault="00CF31CD" w:rsidP="00CF31CD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la-Latn"/>
              </w:rPr>
            </w:pPr>
            <w:r w:rsidRPr="005037D0">
              <w:rPr>
                <w:rFonts w:cs="Arial"/>
                <w:b/>
                <w:sz w:val="24"/>
                <w:szCs w:val="24"/>
                <w:lang w:val="la-Latn"/>
              </w:rPr>
              <w:t>Ukupan izvoz</w:t>
            </w:r>
          </w:p>
        </w:tc>
        <w:tc>
          <w:tcPr>
            <w:tcW w:w="1661" w:type="dxa"/>
            <w:shd w:val="clear" w:color="auto" w:fill="FFFFFF"/>
          </w:tcPr>
          <w:p w14:paraId="0092844F" w14:textId="77F39876" w:rsidR="00CF31CD" w:rsidRPr="00371A8D" w:rsidRDefault="00CF31CD" w:rsidP="00CF31CD">
            <w:pPr>
              <w:jc w:val="center"/>
              <w:rPr>
                <w:b/>
                <w:sz w:val="24"/>
                <w:szCs w:val="24"/>
                <w:lang w:val="la-Latn"/>
              </w:rPr>
            </w:pPr>
            <w:r w:rsidRPr="0015650F">
              <w:rPr>
                <w:b/>
                <w:sz w:val="24"/>
                <w:szCs w:val="24"/>
                <w:lang w:val="la-Latn"/>
              </w:rPr>
              <w:t>6.049.170</w:t>
            </w:r>
          </w:p>
        </w:tc>
        <w:tc>
          <w:tcPr>
            <w:tcW w:w="1146" w:type="dxa"/>
            <w:shd w:val="clear" w:color="auto" w:fill="FFFFFF"/>
          </w:tcPr>
          <w:p w14:paraId="0FEA6C0C" w14:textId="2BB553D3" w:rsidR="00CF31CD" w:rsidRPr="00371A8D" w:rsidRDefault="00CF31CD" w:rsidP="00CF31CD">
            <w:pPr>
              <w:jc w:val="center"/>
              <w:rPr>
                <w:b/>
                <w:sz w:val="24"/>
                <w:szCs w:val="24"/>
                <w:lang w:val="la-Latn"/>
              </w:rPr>
            </w:pPr>
            <w:r w:rsidRPr="0015650F">
              <w:rPr>
                <w:b/>
                <w:sz w:val="24"/>
                <w:szCs w:val="24"/>
                <w:lang w:val="la-Latn"/>
              </w:rPr>
              <w:t>100%</w:t>
            </w:r>
          </w:p>
        </w:tc>
      </w:tr>
    </w:tbl>
    <w:p w14:paraId="62C173F8" w14:textId="2E971609" w:rsidR="00481EEC" w:rsidRDefault="00481EEC" w:rsidP="008C3671">
      <w:pPr>
        <w:pStyle w:val="INormal"/>
        <w:rPr>
          <w:rFonts w:cs="Arial"/>
          <w:i/>
          <w:lang w:val="la-Latn"/>
        </w:rPr>
      </w:pPr>
      <w:r w:rsidRPr="008C08A4">
        <w:rPr>
          <w:rFonts w:cs="Arial"/>
          <w:i/>
          <w:lang w:val="la-Latn"/>
        </w:rPr>
        <w:t xml:space="preserve">Izvor: </w:t>
      </w:r>
      <w:r w:rsidR="00CB04A4">
        <w:rPr>
          <w:rFonts w:cs="Arial"/>
          <w:i/>
          <w:lang w:val="la-Latn"/>
        </w:rPr>
        <w:t>DZS</w:t>
      </w:r>
    </w:p>
    <w:p w14:paraId="753523C5" w14:textId="12AA27DE" w:rsidR="00CF31CD" w:rsidRDefault="00CF31CD" w:rsidP="008C3671">
      <w:pPr>
        <w:pStyle w:val="INormal"/>
        <w:rPr>
          <w:rFonts w:cs="Arial"/>
          <w:i/>
          <w:lang w:val="la-Latn"/>
        </w:rPr>
      </w:pPr>
    </w:p>
    <w:p w14:paraId="24C82752" w14:textId="77777777" w:rsidR="00CF31CD" w:rsidRDefault="00CF31CD" w:rsidP="008C3671">
      <w:pPr>
        <w:pStyle w:val="INormal"/>
        <w:rPr>
          <w:rFonts w:cs="Arial"/>
          <w:i/>
          <w:lang w:val="la-Latn"/>
        </w:rPr>
      </w:pPr>
    </w:p>
    <w:tbl>
      <w:tblPr>
        <w:tblW w:w="923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53"/>
        <w:gridCol w:w="1411"/>
        <w:gridCol w:w="3849"/>
        <w:gridCol w:w="1488"/>
        <w:gridCol w:w="1634"/>
      </w:tblGrid>
      <w:tr w:rsidR="00720EC7" w:rsidRPr="00207B41" w14:paraId="4DA83B07" w14:textId="77777777" w:rsidTr="00CF31CD">
        <w:trPr>
          <w:trHeight w:val="569"/>
          <w:tblCellSpacing w:w="20" w:type="dxa"/>
        </w:trPr>
        <w:tc>
          <w:tcPr>
            <w:tcW w:w="9155" w:type="dxa"/>
            <w:gridSpan w:val="5"/>
            <w:shd w:val="clear" w:color="auto" w:fill="9CC2E5" w:themeFill="accent1" w:themeFillTint="99"/>
            <w:vAlign w:val="center"/>
          </w:tcPr>
          <w:p w14:paraId="3C9C279B" w14:textId="35865E6E" w:rsidR="00720EC7" w:rsidRPr="00207B41" w:rsidRDefault="00720EC7" w:rsidP="00983579">
            <w:pPr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lastRenderedPageBreak/>
              <w:t>STRUKTURA NAJZNAČAJNIJIH UVOZNIH PROIZVODA</w:t>
            </w:r>
            <w:r w:rsidR="00CF31CD">
              <w:rPr>
                <w:rFonts w:eastAsia="Arial"/>
                <w:b/>
                <w:sz w:val="24"/>
                <w:szCs w:val="24"/>
              </w:rPr>
              <w:t>,</w:t>
            </w:r>
            <w:r w:rsidRPr="00207B41">
              <w:rPr>
                <w:rFonts w:eastAsia="Arial"/>
                <w:b/>
                <w:sz w:val="24"/>
                <w:szCs w:val="24"/>
              </w:rPr>
              <w:t xml:space="preserve"> 2025.</w:t>
            </w:r>
            <w:r w:rsidR="00CF31CD">
              <w:rPr>
                <w:rFonts w:eastAsia="Arial"/>
                <w:b/>
                <w:sz w:val="24"/>
                <w:szCs w:val="24"/>
              </w:rPr>
              <w:t xml:space="preserve"> </w:t>
            </w:r>
            <w:r w:rsidR="00CF31CD" w:rsidRPr="00207B41">
              <w:rPr>
                <w:rFonts w:eastAsia="Arial"/>
                <w:b/>
                <w:sz w:val="24"/>
                <w:szCs w:val="24"/>
              </w:rPr>
              <w:t>I</w:t>
            </w:r>
            <w:r w:rsidR="00CF31CD">
              <w:rPr>
                <w:rFonts w:eastAsia="Arial"/>
                <w:b/>
                <w:sz w:val="24"/>
                <w:szCs w:val="24"/>
              </w:rPr>
              <w:t>.</w:t>
            </w:r>
            <w:r w:rsidR="00CF31CD" w:rsidRPr="00207B41">
              <w:rPr>
                <w:rFonts w:eastAsia="Arial"/>
                <w:b/>
                <w:sz w:val="24"/>
                <w:szCs w:val="24"/>
              </w:rPr>
              <w:t>-VI</w:t>
            </w:r>
          </w:p>
        </w:tc>
      </w:tr>
      <w:tr w:rsidR="00720EC7" w:rsidRPr="00207B41" w14:paraId="19D8CA77" w14:textId="77777777" w:rsidTr="00CF31CD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49ED4D97" w14:textId="77777777" w:rsidR="00720EC7" w:rsidRPr="00207B41" w:rsidRDefault="00720EC7" w:rsidP="00983579">
            <w:pPr>
              <w:jc w:val="center"/>
              <w:rPr>
                <w:rFonts w:eastAsia="Arial"/>
                <w:b/>
                <w:sz w:val="24"/>
                <w:szCs w:val="24"/>
              </w:rPr>
            </w:pPr>
            <w:r w:rsidRPr="00207B41">
              <w:rPr>
                <w:rFonts w:eastAsia="Arial"/>
                <w:b/>
                <w:sz w:val="24"/>
                <w:szCs w:val="24"/>
              </w:rPr>
              <w:t>R.br.</w:t>
            </w:r>
          </w:p>
        </w:tc>
        <w:tc>
          <w:tcPr>
            <w:tcW w:w="1371" w:type="dxa"/>
            <w:shd w:val="clear" w:color="auto" w:fill="FFFFFF"/>
            <w:vAlign w:val="center"/>
          </w:tcPr>
          <w:p w14:paraId="2FC66FB9" w14:textId="77777777" w:rsidR="00720EC7" w:rsidRPr="00207B41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Tarifna oznaka</w:t>
            </w:r>
          </w:p>
        </w:tc>
        <w:tc>
          <w:tcPr>
            <w:tcW w:w="3809" w:type="dxa"/>
            <w:shd w:val="clear" w:color="auto" w:fill="FFFFFF"/>
            <w:vAlign w:val="center"/>
          </w:tcPr>
          <w:p w14:paraId="6AB8EC30" w14:textId="77777777" w:rsidR="00720EC7" w:rsidRPr="00207B41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Naziv robe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5349E16D" w14:textId="77777777" w:rsidR="00720EC7" w:rsidRPr="00207B41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USD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5459F354" w14:textId="77777777" w:rsidR="00720EC7" w:rsidRPr="00207B41" w:rsidRDefault="00720EC7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%</w:t>
            </w:r>
          </w:p>
        </w:tc>
      </w:tr>
      <w:tr w:rsidR="00CF31CD" w:rsidRPr="00207B41" w14:paraId="26E94785" w14:textId="77777777" w:rsidTr="00CF31CD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CDBEEC1" w14:textId="77777777" w:rsidR="00CF31CD" w:rsidRPr="00207B41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1.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C632C72" w14:textId="2A8C8A9F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3901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3ACCC15" w14:textId="064E5BED" w:rsidR="00CF31CD" w:rsidRPr="00CF31CD" w:rsidRDefault="00CF31CD" w:rsidP="00CF31CD">
            <w:pPr>
              <w:jc w:val="left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Polimeri etilena u primarnim oblicima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71E2416" w14:textId="5756F21F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1.622.397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A5B2D65" w14:textId="5E923551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99,6%</w:t>
            </w:r>
          </w:p>
        </w:tc>
      </w:tr>
      <w:tr w:rsidR="00CF31CD" w:rsidRPr="00207B41" w14:paraId="759A85A4" w14:textId="77777777" w:rsidTr="00CF31CD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5E698C43" w14:textId="77777777" w:rsidR="00CF31CD" w:rsidRPr="00207B41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2.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236C31B" w14:textId="2A145B7D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8807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9E79156" w14:textId="19B2F5A0" w:rsidR="00CF31CD" w:rsidRPr="00CF31CD" w:rsidRDefault="00CF31CD" w:rsidP="00CF31CD">
            <w:pPr>
              <w:jc w:val="left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Dijelovi letjelica i svemirskih letjelica iz tarifnih brojeva 8801, 8802 ili 8806, drugdje nespomenuti i neuključeni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3BF88BB" w14:textId="03709A20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2.992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05ED2469" w14:textId="4555249F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0,2%</w:t>
            </w:r>
          </w:p>
        </w:tc>
      </w:tr>
      <w:tr w:rsidR="00CF31CD" w:rsidRPr="00207B41" w14:paraId="4A472E50" w14:textId="77777777" w:rsidTr="00CF31CD">
        <w:trPr>
          <w:trHeight w:val="407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4405D8F1" w14:textId="77777777" w:rsidR="00CF31CD" w:rsidRPr="00207B41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3.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F6072D6" w14:textId="6E6AC327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7117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22225B0E" w14:textId="3CB10DFD" w:rsidR="00CF31CD" w:rsidRPr="00CF31CD" w:rsidRDefault="00CF31CD" w:rsidP="00CF31CD">
            <w:pPr>
              <w:jc w:val="left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Imitacije draguljarskih predmeta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B0BDD5D" w14:textId="13FDDC62" w:rsidR="00CF31CD" w:rsidRPr="00CF31CD" w:rsidRDefault="00CF31CD" w:rsidP="00CF31CD">
            <w:pPr>
              <w:suppressAutoHyphens w:val="0"/>
              <w:spacing w:after="0"/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2.440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137F1E2" w14:textId="4A9A1416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0,1%</w:t>
            </w:r>
          </w:p>
        </w:tc>
      </w:tr>
      <w:tr w:rsidR="00CF31CD" w:rsidRPr="00207B41" w14:paraId="7F86E522" w14:textId="77777777" w:rsidTr="00CF31CD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27C88A48" w14:textId="77777777" w:rsidR="00CF31CD" w:rsidRPr="00207B41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4.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536DB01E" w14:textId="14017320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7113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20A3F13" w14:textId="1F19308F" w:rsidR="00CF31CD" w:rsidRPr="00CF31CD" w:rsidRDefault="00CF31CD" w:rsidP="00CF31CD">
            <w:pPr>
              <w:jc w:val="left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 xml:space="preserve">Draguljarski predmeti i njihovi dijelovi, od plemenitih kovina ili od kovina </w:t>
            </w:r>
            <w:proofErr w:type="spellStart"/>
            <w:r w:rsidRPr="00CF31CD">
              <w:rPr>
                <w:rFonts w:eastAsia="Arial"/>
                <w:sz w:val="24"/>
                <w:szCs w:val="24"/>
              </w:rPr>
              <w:t>platiranih</w:t>
            </w:r>
            <w:proofErr w:type="spellEnd"/>
            <w:r w:rsidRPr="00CF31CD">
              <w:rPr>
                <w:rFonts w:eastAsia="Arial"/>
                <w:sz w:val="24"/>
                <w:szCs w:val="24"/>
              </w:rPr>
              <w:t xml:space="preserve"> plemenitim kovinama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E227D04" w14:textId="5A18BA59" w:rsidR="00CF31CD" w:rsidRPr="00CF31CD" w:rsidRDefault="00CF31CD" w:rsidP="00CF31CD">
            <w:pPr>
              <w:suppressAutoHyphens w:val="0"/>
              <w:spacing w:after="0"/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540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1C22D660" w14:textId="031D9DD8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0,1%</w:t>
            </w:r>
          </w:p>
        </w:tc>
      </w:tr>
      <w:tr w:rsidR="00CF31CD" w:rsidRPr="00207B41" w14:paraId="79FF0692" w14:textId="77777777" w:rsidTr="00CF31CD">
        <w:trPr>
          <w:trHeight w:val="392"/>
          <w:tblCellSpacing w:w="20" w:type="dxa"/>
        </w:trPr>
        <w:tc>
          <w:tcPr>
            <w:tcW w:w="793" w:type="dxa"/>
            <w:shd w:val="clear" w:color="auto" w:fill="FFFFFF"/>
            <w:vAlign w:val="center"/>
          </w:tcPr>
          <w:p w14:paraId="75113565" w14:textId="77777777" w:rsidR="00CF31CD" w:rsidRPr="00207B41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207B41">
              <w:rPr>
                <w:rFonts w:eastAsia="Arial"/>
                <w:sz w:val="24"/>
                <w:szCs w:val="24"/>
              </w:rPr>
              <w:t>5.</w:t>
            </w:r>
          </w:p>
        </w:tc>
        <w:tc>
          <w:tcPr>
            <w:tcW w:w="1371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303A6133" w14:textId="50CE5958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4821</w:t>
            </w:r>
          </w:p>
        </w:tc>
        <w:tc>
          <w:tcPr>
            <w:tcW w:w="3809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AAF9E98" w14:textId="0475FCEE" w:rsidR="00CF31CD" w:rsidRPr="00CF31CD" w:rsidRDefault="00CF31CD" w:rsidP="00CF31CD">
            <w:pPr>
              <w:jc w:val="left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Papirnate ili kartonske etikete svih vrsta, neovisno jesu li tiskane ili ne</w:t>
            </w:r>
          </w:p>
        </w:tc>
        <w:tc>
          <w:tcPr>
            <w:tcW w:w="1448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4E64087B" w14:textId="4BDD2FBA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240</w:t>
            </w:r>
          </w:p>
        </w:tc>
        <w:tc>
          <w:tcPr>
            <w:tcW w:w="1574" w:type="dxa"/>
            <w:tcBorders>
              <w:top w:val="inset" w:sz="6" w:space="0" w:color="E7E6E6" w:themeColor="background2"/>
              <w:left w:val="inset" w:sz="6" w:space="0" w:color="E7E6E6" w:themeColor="background2"/>
              <w:bottom w:val="inset" w:sz="6" w:space="0" w:color="E7E6E6" w:themeColor="background2"/>
              <w:right w:val="inset" w:sz="6" w:space="0" w:color="E7E6E6" w:themeColor="background2"/>
            </w:tcBorders>
            <w:vAlign w:val="center"/>
          </w:tcPr>
          <w:p w14:paraId="6EA639A9" w14:textId="4DFB0E1D" w:rsidR="00CF31CD" w:rsidRPr="00CF31CD" w:rsidRDefault="00CF31CD" w:rsidP="00CF31CD">
            <w:pPr>
              <w:jc w:val="center"/>
              <w:rPr>
                <w:rFonts w:eastAsia="Arial"/>
                <w:sz w:val="24"/>
                <w:szCs w:val="24"/>
              </w:rPr>
            </w:pPr>
            <w:r w:rsidRPr="00CF31CD">
              <w:rPr>
                <w:rFonts w:eastAsia="Arial"/>
                <w:sz w:val="24"/>
                <w:szCs w:val="24"/>
              </w:rPr>
              <w:t>0,1%</w:t>
            </w:r>
          </w:p>
        </w:tc>
      </w:tr>
      <w:tr w:rsidR="00720EC7" w:rsidRPr="00207B41" w14:paraId="48EF9589" w14:textId="77777777" w:rsidTr="00CF31CD">
        <w:trPr>
          <w:trHeight w:val="392"/>
          <w:tblCellSpacing w:w="20" w:type="dxa"/>
        </w:trPr>
        <w:tc>
          <w:tcPr>
            <w:tcW w:w="6053" w:type="dxa"/>
            <w:gridSpan w:val="3"/>
            <w:shd w:val="clear" w:color="auto" w:fill="FFFFFF"/>
            <w:vAlign w:val="center"/>
          </w:tcPr>
          <w:p w14:paraId="47AC0ABF" w14:textId="77777777" w:rsidR="00720EC7" w:rsidRPr="00207B41" w:rsidRDefault="00720EC7" w:rsidP="00983579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Prikazan uvoz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2E251708" w14:textId="5327A3A1" w:rsidR="00720EC7" w:rsidRPr="00207B41" w:rsidRDefault="00CF31CD" w:rsidP="00983579">
            <w:pPr>
              <w:jc w:val="center"/>
              <w:rPr>
                <w:b/>
                <w:sz w:val="24"/>
                <w:szCs w:val="24"/>
              </w:rPr>
            </w:pPr>
            <w:r w:rsidRPr="00CF31CD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.</w:t>
            </w:r>
            <w:r w:rsidRPr="00CF31CD">
              <w:rPr>
                <w:b/>
                <w:sz w:val="24"/>
                <w:szCs w:val="24"/>
              </w:rPr>
              <w:t>628</w:t>
            </w:r>
            <w:r>
              <w:rPr>
                <w:b/>
                <w:sz w:val="24"/>
                <w:szCs w:val="24"/>
              </w:rPr>
              <w:t>.</w:t>
            </w:r>
            <w:r w:rsidRPr="00CF31CD">
              <w:rPr>
                <w:b/>
                <w:sz w:val="24"/>
                <w:szCs w:val="24"/>
              </w:rPr>
              <w:t>609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5FF158FC" w14:textId="5391CF8A" w:rsidR="00720EC7" w:rsidRPr="00207B41" w:rsidRDefault="00CF31CD" w:rsidP="00983579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>
              <w:rPr>
                <w:rFonts w:cs="Arial"/>
                <w:b/>
                <w:sz w:val="24"/>
                <w:szCs w:val="24"/>
                <w:lang w:val="hr-HR"/>
              </w:rPr>
              <w:t>99,9</w:t>
            </w:r>
          </w:p>
        </w:tc>
      </w:tr>
      <w:tr w:rsidR="00CF31CD" w:rsidRPr="00207B41" w14:paraId="4429C843" w14:textId="77777777" w:rsidTr="00CF31CD">
        <w:trPr>
          <w:trHeight w:val="392"/>
          <w:tblCellSpacing w:w="20" w:type="dxa"/>
        </w:trPr>
        <w:tc>
          <w:tcPr>
            <w:tcW w:w="6053" w:type="dxa"/>
            <w:gridSpan w:val="3"/>
            <w:shd w:val="clear" w:color="auto" w:fill="FFFFFF"/>
            <w:vAlign w:val="center"/>
          </w:tcPr>
          <w:p w14:paraId="2A488861" w14:textId="77777777" w:rsidR="00CF31CD" w:rsidRPr="00207B41" w:rsidRDefault="00CF31CD" w:rsidP="00CF31CD">
            <w:pPr>
              <w:pStyle w:val="INormal"/>
              <w:jc w:val="left"/>
              <w:rPr>
                <w:rFonts w:cs="Arial"/>
                <w:b/>
                <w:sz w:val="24"/>
                <w:szCs w:val="24"/>
                <w:lang w:val="hr-HR"/>
              </w:rPr>
            </w:pPr>
            <w:r w:rsidRPr="00207B41">
              <w:rPr>
                <w:rFonts w:cs="Arial"/>
                <w:b/>
                <w:sz w:val="24"/>
                <w:szCs w:val="24"/>
                <w:lang w:val="hr-HR"/>
              </w:rPr>
              <w:t>Ukupan uvoz</w:t>
            </w:r>
          </w:p>
        </w:tc>
        <w:tc>
          <w:tcPr>
            <w:tcW w:w="1448" w:type="dxa"/>
            <w:shd w:val="clear" w:color="auto" w:fill="FFFFFF"/>
            <w:vAlign w:val="center"/>
          </w:tcPr>
          <w:p w14:paraId="3BA4C263" w14:textId="172CDBB8" w:rsidR="00CF31CD" w:rsidRPr="00207B41" w:rsidRDefault="00CF31CD" w:rsidP="00CF31CD">
            <w:pPr>
              <w:jc w:val="center"/>
              <w:rPr>
                <w:b/>
                <w:sz w:val="24"/>
                <w:szCs w:val="24"/>
              </w:rPr>
            </w:pPr>
            <w:r w:rsidRPr="00CF31CD">
              <w:rPr>
                <w:b/>
                <w:sz w:val="24"/>
                <w:szCs w:val="24"/>
              </w:rPr>
              <w:t>1.629.004</w:t>
            </w:r>
          </w:p>
        </w:tc>
        <w:tc>
          <w:tcPr>
            <w:tcW w:w="1574" w:type="dxa"/>
            <w:shd w:val="clear" w:color="auto" w:fill="FFFFFF"/>
            <w:vAlign w:val="center"/>
          </w:tcPr>
          <w:p w14:paraId="3AC21EF1" w14:textId="167B9F8D" w:rsidR="00CF31CD" w:rsidRPr="00207B41" w:rsidRDefault="00CF31CD" w:rsidP="00CF31CD">
            <w:pPr>
              <w:pStyle w:val="INormal"/>
              <w:jc w:val="center"/>
              <w:rPr>
                <w:rFonts w:cs="Arial"/>
                <w:b/>
                <w:sz w:val="24"/>
                <w:szCs w:val="24"/>
                <w:lang w:val="hr-HR"/>
              </w:rPr>
            </w:pPr>
            <w:r w:rsidRPr="00CF31CD">
              <w:rPr>
                <w:rFonts w:cs="Arial"/>
                <w:b/>
                <w:sz w:val="24"/>
                <w:szCs w:val="24"/>
                <w:lang w:val="hr-HR"/>
              </w:rPr>
              <w:t>100%</w:t>
            </w:r>
          </w:p>
        </w:tc>
      </w:tr>
    </w:tbl>
    <w:p w14:paraId="787E6F7B" w14:textId="77777777" w:rsidR="00481EEC" w:rsidRPr="008C08A4" w:rsidRDefault="00481EEC">
      <w:pPr>
        <w:rPr>
          <w:i/>
          <w:lang w:val="la-Latn"/>
        </w:rPr>
      </w:pPr>
      <w:r w:rsidRPr="008C08A4">
        <w:rPr>
          <w:i/>
          <w:lang w:val="la-Latn"/>
        </w:rPr>
        <w:t xml:space="preserve">Izvor: </w:t>
      </w:r>
      <w:r w:rsidR="00CB04A4">
        <w:rPr>
          <w:i/>
          <w:lang w:val="la-Latn"/>
        </w:rPr>
        <w:t>DZS</w:t>
      </w:r>
    </w:p>
    <w:p w14:paraId="2587B24E" w14:textId="77777777" w:rsidR="00E9124D" w:rsidRPr="008C08A4" w:rsidRDefault="00E9124D" w:rsidP="00E9124D">
      <w:pPr>
        <w:rPr>
          <w:i/>
          <w:lang w:val="la-Latn"/>
        </w:rPr>
      </w:pPr>
    </w:p>
    <w:p w14:paraId="61D00E1C" w14:textId="77777777" w:rsidR="00E9124D" w:rsidRPr="008C08A4" w:rsidRDefault="00E9124D" w:rsidP="00E912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8C08A4">
        <w:rPr>
          <w:rFonts w:eastAsia="Arial"/>
          <w:b/>
          <w:sz w:val="24"/>
          <w:szCs w:val="24"/>
          <w:lang w:val="la-Latn"/>
        </w:rPr>
        <w:t>Međunarodni ugovori iz područja gospodarstva</w:t>
      </w:r>
    </w:p>
    <w:p w14:paraId="47344728" w14:textId="37671A8C" w:rsidR="0015650F" w:rsidRDefault="0015650F" w:rsidP="005D7DEA">
      <w:pPr>
        <w:pStyle w:val="ListParagraph"/>
        <w:numPr>
          <w:ilvl w:val="0"/>
          <w:numId w:val="3"/>
        </w:numPr>
        <w:spacing w:before="240"/>
        <w:rPr>
          <w:rFonts w:eastAsia="Arial"/>
          <w:iCs/>
          <w:sz w:val="24"/>
          <w:szCs w:val="24"/>
          <w:lang w:val="la-Latn"/>
        </w:rPr>
      </w:pPr>
      <w:r w:rsidRPr="0015650F">
        <w:rPr>
          <w:rFonts w:eastAsia="Arial"/>
          <w:b/>
          <w:bCs/>
          <w:iCs/>
          <w:sz w:val="24"/>
          <w:szCs w:val="24"/>
          <w:lang w:val="la-Latn"/>
        </w:rPr>
        <w:t>Ugovor između Vlade Republike Hrvatske i Vlade Države Katara o gospodarskoj suradnji</w:t>
      </w:r>
      <w:r>
        <w:rPr>
          <w:rFonts w:eastAsia="Arial"/>
          <w:iCs/>
          <w:sz w:val="24"/>
          <w:szCs w:val="24"/>
        </w:rPr>
        <w:t xml:space="preserve"> </w:t>
      </w:r>
      <w:r w:rsidRPr="008C08A4">
        <w:rPr>
          <w:rFonts w:eastAsia="Arial"/>
          <w:iCs/>
          <w:sz w:val="24"/>
          <w:szCs w:val="24"/>
          <w:lang w:val="la-Latn"/>
        </w:rPr>
        <w:t>(</w:t>
      </w:r>
      <w:r w:rsidRPr="008C08A4">
        <w:rPr>
          <w:rFonts w:eastAsia="Arial"/>
          <w:i/>
          <w:sz w:val="24"/>
          <w:szCs w:val="24"/>
          <w:lang w:val="la-Latn"/>
        </w:rPr>
        <w:t>datum potpisivanja</w:t>
      </w:r>
      <w:r>
        <w:rPr>
          <w:rFonts w:eastAsia="Arial"/>
          <w:i/>
          <w:sz w:val="24"/>
          <w:szCs w:val="24"/>
        </w:rPr>
        <w:t xml:space="preserve"> </w:t>
      </w:r>
      <w:r w:rsidRPr="0015650F">
        <w:rPr>
          <w:rFonts w:eastAsia="Arial"/>
          <w:i/>
          <w:sz w:val="24"/>
          <w:szCs w:val="24"/>
          <w:lang w:val="la-Latn"/>
        </w:rPr>
        <w:t>22.4.2009.</w:t>
      </w:r>
      <w:r w:rsidRPr="008C08A4">
        <w:rPr>
          <w:rFonts w:eastAsia="Arial"/>
          <w:i/>
          <w:sz w:val="24"/>
          <w:szCs w:val="24"/>
          <w:lang w:val="la-Latn"/>
        </w:rPr>
        <w:t>; objava u NN-MU: 1/20</w:t>
      </w:r>
      <w:r>
        <w:rPr>
          <w:rFonts w:eastAsia="Arial"/>
          <w:i/>
          <w:sz w:val="24"/>
          <w:szCs w:val="24"/>
        </w:rPr>
        <w:t>10</w:t>
      </w:r>
      <w:r w:rsidRPr="008C08A4">
        <w:rPr>
          <w:rFonts w:eastAsia="Arial"/>
          <w:i/>
          <w:sz w:val="24"/>
          <w:szCs w:val="24"/>
          <w:lang w:val="la-Latn"/>
        </w:rPr>
        <w:t xml:space="preserve">; stupanje na snagu: </w:t>
      </w:r>
      <w:r>
        <w:rPr>
          <w:rFonts w:eastAsia="Arial"/>
          <w:i/>
          <w:sz w:val="24"/>
          <w:szCs w:val="24"/>
        </w:rPr>
        <w:t>5</w:t>
      </w:r>
      <w:r w:rsidRPr="008C08A4">
        <w:rPr>
          <w:rFonts w:eastAsia="Arial"/>
          <w:i/>
          <w:sz w:val="24"/>
          <w:szCs w:val="24"/>
          <w:lang w:val="la-Latn"/>
        </w:rPr>
        <w:t>.</w:t>
      </w:r>
      <w:r>
        <w:rPr>
          <w:rFonts w:eastAsia="Arial"/>
          <w:i/>
          <w:sz w:val="24"/>
          <w:szCs w:val="24"/>
        </w:rPr>
        <w:t>5</w:t>
      </w:r>
      <w:r w:rsidRPr="008C08A4">
        <w:rPr>
          <w:rFonts w:eastAsia="Arial"/>
          <w:i/>
          <w:sz w:val="24"/>
          <w:szCs w:val="24"/>
          <w:lang w:val="la-Latn"/>
        </w:rPr>
        <w:t>.20</w:t>
      </w:r>
      <w:r>
        <w:rPr>
          <w:rFonts w:eastAsia="Arial"/>
          <w:i/>
          <w:sz w:val="24"/>
          <w:szCs w:val="24"/>
        </w:rPr>
        <w:t>17</w:t>
      </w:r>
      <w:r w:rsidRPr="008C08A4">
        <w:rPr>
          <w:rFonts w:eastAsia="Arial"/>
          <w:i/>
          <w:sz w:val="24"/>
          <w:szCs w:val="24"/>
          <w:lang w:val="la-Latn"/>
        </w:rPr>
        <w:t xml:space="preserve">.; objava stupanja na snagu: </w:t>
      </w:r>
      <w:r>
        <w:rPr>
          <w:rFonts w:eastAsia="Arial"/>
          <w:i/>
          <w:sz w:val="24"/>
          <w:szCs w:val="24"/>
        </w:rPr>
        <w:t>4</w:t>
      </w:r>
      <w:r w:rsidRPr="008C08A4">
        <w:rPr>
          <w:rFonts w:eastAsia="Arial"/>
          <w:i/>
          <w:sz w:val="24"/>
          <w:szCs w:val="24"/>
          <w:lang w:val="la-Latn"/>
        </w:rPr>
        <w:t>/20</w:t>
      </w:r>
      <w:r>
        <w:rPr>
          <w:rFonts w:eastAsia="Arial"/>
          <w:i/>
          <w:sz w:val="24"/>
          <w:szCs w:val="24"/>
        </w:rPr>
        <w:t>17</w:t>
      </w:r>
      <w:r w:rsidRPr="008C08A4">
        <w:rPr>
          <w:rFonts w:eastAsia="Arial"/>
          <w:iCs/>
          <w:sz w:val="24"/>
          <w:szCs w:val="24"/>
          <w:lang w:val="la-Latn"/>
        </w:rPr>
        <w:t>)</w:t>
      </w:r>
    </w:p>
    <w:p w14:paraId="09723060" w14:textId="77777777" w:rsidR="0030013A" w:rsidRPr="0015650F" w:rsidRDefault="0030013A" w:rsidP="0030013A">
      <w:pPr>
        <w:pStyle w:val="ListParagraph"/>
        <w:spacing w:before="240"/>
        <w:ind w:left="360"/>
        <w:rPr>
          <w:rFonts w:eastAsia="Arial"/>
          <w:iCs/>
          <w:sz w:val="24"/>
          <w:szCs w:val="24"/>
          <w:lang w:val="la-Latn"/>
        </w:rPr>
      </w:pPr>
    </w:p>
    <w:p w14:paraId="7F55F2FF" w14:textId="3FC83112" w:rsidR="0030013A" w:rsidRDefault="005D7DEA" w:rsidP="0030013A">
      <w:pPr>
        <w:pStyle w:val="ListParagraph"/>
        <w:numPr>
          <w:ilvl w:val="0"/>
          <w:numId w:val="3"/>
        </w:numPr>
        <w:spacing w:before="240"/>
        <w:rPr>
          <w:rFonts w:eastAsia="Arial"/>
          <w:iCs/>
          <w:sz w:val="24"/>
          <w:szCs w:val="24"/>
          <w:lang w:val="la-Latn"/>
        </w:rPr>
      </w:pPr>
      <w:r w:rsidRPr="008C08A4">
        <w:rPr>
          <w:rFonts w:eastAsia="Arial"/>
          <w:b/>
          <w:sz w:val="24"/>
          <w:szCs w:val="24"/>
          <w:lang w:val="la-Latn"/>
        </w:rPr>
        <w:t>Ugovor između Vlade Republike Hrvatske i Vlade Države Katar o izbjegavanju dvostrukog oporezivanja i sprječavanju izbjegavanja plaćanja poreza na dohodak</w:t>
      </w:r>
      <w:r w:rsidRPr="008C08A4">
        <w:rPr>
          <w:rFonts w:ascii="Tahoma" w:hAnsi="Tahoma" w:cs="Tahoma"/>
          <w:color w:val="707B80"/>
          <w:sz w:val="24"/>
          <w:szCs w:val="24"/>
          <w:lang w:val="la-Latn"/>
        </w:rPr>
        <w:t xml:space="preserve"> </w:t>
      </w:r>
      <w:r w:rsidR="0015650F" w:rsidRPr="008C08A4">
        <w:rPr>
          <w:rFonts w:eastAsia="Arial"/>
          <w:iCs/>
          <w:sz w:val="24"/>
          <w:szCs w:val="24"/>
          <w:lang w:val="la-Latn"/>
        </w:rPr>
        <w:t>(</w:t>
      </w:r>
      <w:r w:rsidR="0015650F" w:rsidRPr="008C08A4">
        <w:rPr>
          <w:rFonts w:eastAsia="Arial"/>
          <w:i/>
          <w:sz w:val="24"/>
          <w:szCs w:val="24"/>
          <w:lang w:val="la-Latn"/>
        </w:rPr>
        <w:t>datum potpisivanja: 24.6.2008..; objava u NN-MU: 1/2009; stupanje na snagu: 6.4.2009.; objava stupanja na snagu: 3/2012</w:t>
      </w:r>
      <w:r w:rsidR="0015650F" w:rsidRPr="008C08A4">
        <w:rPr>
          <w:rFonts w:eastAsia="Arial"/>
          <w:iCs/>
          <w:sz w:val="24"/>
          <w:szCs w:val="24"/>
          <w:lang w:val="la-Latn"/>
        </w:rPr>
        <w:t>)</w:t>
      </w:r>
    </w:p>
    <w:p w14:paraId="79A96ECF" w14:textId="77777777" w:rsidR="0030013A" w:rsidRPr="0015650F" w:rsidRDefault="0030013A" w:rsidP="0030013A">
      <w:pPr>
        <w:pStyle w:val="ListParagraph"/>
        <w:spacing w:before="240"/>
        <w:ind w:left="360"/>
        <w:rPr>
          <w:rFonts w:eastAsia="Arial"/>
          <w:iCs/>
          <w:sz w:val="24"/>
          <w:szCs w:val="24"/>
          <w:lang w:val="la-Latn"/>
        </w:rPr>
      </w:pPr>
    </w:p>
    <w:p w14:paraId="79A94178" w14:textId="62543A9B" w:rsidR="003A48BA" w:rsidRPr="00CF31CD" w:rsidRDefault="005D7DEA" w:rsidP="00CF31CD">
      <w:pPr>
        <w:pStyle w:val="ListParagraph"/>
        <w:numPr>
          <w:ilvl w:val="0"/>
          <w:numId w:val="3"/>
        </w:numPr>
        <w:rPr>
          <w:rFonts w:eastAsia="Arial"/>
          <w:iCs/>
          <w:sz w:val="24"/>
          <w:szCs w:val="24"/>
          <w:lang w:val="la-Latn"/>
        </w:rPr>
      </w:pPr>
      <w:r w:rsidRPr="008C08A4">
        <w:rPr>
          <w:rFonts w:eastAsia="Arial"/>
          <w:b/>
          <w:sz w:val="24"/>
          <w:szCs w:val="24"/>
          <w:lang w:val="la-Latn"/>
        </w:rPr>
        <w:t>Sporazum između Vlade Republike Hrvatske i Vlade Države Katar o zračnom prometu</w:t>
      </w:r>
      <w:r w:rsidRPr="008C08A4">
        <w:rPr>
          <w:rFonts w:ascii="Tahoma" w:hAnsi="Tahoma" w:cs="Tahoma"/>
          <w:color w:val="707B80"/>
          <w:sz w:val="24"/>
          <w:szCs w:val="24"/>
          <w:lang w:val="la-Latn"/>
        </w:rPr>
        <w:t xml:space="preserve"> </w:t>
      </w:r>
      <w:r w:rsidRPr="008C08A4">
        <w:rPr>
          <w:rFonts w:eastAsia="Arial"/>
          <w:iCs/>
          <w:sz w:val="24"/>
          <w:szCs w:val="24"/>
          <w:lang w:val="la-Latn"/>
        </w:rPr>
        <w:t>(</w:t>
      </w:r>
      <w:r w:rsidRPr="008C08A4">
        <w:rPr>
          <w:rFonts w:eastAsia="Arial"/>
          <w:i/>
          <w:sz w:val="24"/>
          <w:szCs w:val="24"/>
          <w:lang w:val="la-Latn"/>
        </w:rPr>
        <w:t>datum potpisivanja: 17.3.2004.; objava u NN-MU: 5/2004; stupanje na snagu: 8.2.2010.; objava stupanja na snagu: 2/2010</w:t>
      </w:r>
      <w:r w:rsidRPr="008C08A4">
        <w:rPr>
          <w:rFonts w:eastAsia="Arial"/>
          <w:iCs/>
          <w:sz w:val="24"/>
          <w:szCs w:val="24"/>
          <w:lang w:val="la-Latn"/>
        </w:rPr>
        <w:t>)</w:t>
      </w:r>
    </w:p>
    <w:p w14:paraId="3F3E40E0" w14:textId="77777777" w:rsidR="007645E3" w:rsidRPr="007645E3" w:rsidRDefault="007645E3" w:rsidP="0076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jc w:val="center"/>
        <w:rPr>
          <w:rFonts w:eastAsia="Arial"/>
          <w:b/>
          <w:sz w:val="24"/>
          <w:szCs w:val="24"/>
          <w:lang w:val="la-Latn"/>
        </w:rPr>
      </w:pPr>
      <w:r w:rsidRPr="007645E3">
        <w:rPr>
          <w:rFonts w:eastAsia="Arial"/>
          <w:b/>
          <w:sz w:val="24"/>
          <w:szCs w:val="24"/>
          <w:lang w:val="la-Latn"/>
        </w:rPr>
        <w:t>Javni natječaji i sajmovi</w:t>
      </w:r>
    </w:p>
    <w:p w14:paraId="524BA25F" w14:textId="77777777" w:rsidR="007645E3" w:rsidRPr="007645E3" w:rsidRDefault="007645E3" w:rsidP="007645E3">
      <w:pPr>
        <w:suppressAutoHyphens w:val="0"/>
        <w:spacing w:line="276" w:lineRule="auto"/>
        <w:contextualSpacing/>
      </w:pPr>
      <w:r w:rsidRPr="007645E3">
        <w:rPr>
          <w:sz w:val="24"/>
          <w:szCs w:val="24"/>
        </w:rPr>
        <w:t>Izvozne prilike</w:t>
      </w:r>
      <w:r w:rsidRPr="007645E3">
        <w:rPr>
          <w:sz w:val="24"/>
          <w:szCs w:val="24"/>
          <w:lang w:val="la-Latn"/>
        </w:rPr>
        <w:t xml:space="preserve">: </w:t>
      </w:r>
      <w:hyperlink r:id="rId7" w:history="1">
        <w:r w:rsidRPr="007645E3">
          <w:rPr>
            <w:rFonts w:eastAsia="Arial"/>
            <w:color w:val="0000FF"/>
            <w:sz w:val="24"/>
            <w:szCs w:val="24"/>
            <w:u w:val="single"/>
            <w:lang w:val="la-Latn"/>
          </w:rPr>
          <w:t>Ministarstvo vanjskih i europskih poslova RH - Izvozne prilike</w:t>
        </w:r>
      </w:hyperlink>
    </w:p>
    <w:p w14:paraId="4C3843AB" w14:textId="740D067D" w:rsidR="0015650F" w:rsidRDefault="007645E3" w:rsidP="007645E3">
      <w:pPr>
        <w:suppressAutoHyphens w:val="0"/>
        <w:spacing w:line="276" w:lineRule="auto"/>
        <w:contextualSpacing/>
        <w:rPr>
          <w:rFonts w:eastAsia="Arial"/>
          <w:color w:val="0000FF"/>
          <w:sz w:val="24"/>
          <w:szCs w:val="24"/>
          <w:u w:val="single"/>
          <w:lang w:val="la-Latn"/>
        </w:rPr>
      </w:pPr>
      <w:r w:rsidRPr="007645E3">
        <w:rPr>
          <w:sz w:val="24"/>
          <w:szCs w:val="24"/>
          <w:lang w:val="la-Latn"/>
        </w:rPr>
        <w:t xml:space="preserve">Najave sajmova: </w:t>
      </w:r>
      <w:hyperlink r:id="rId8" w:history="1">
        <w:r w:rsidRPr="007645E3">
          <w:rPr>
            <w:rFonts w:eastAsia="Arial"/>
            <w:color w:val="0000FF"/>
            <w:sz w:val="24"/>
            <w:szCs w:val="24"/>
            <w:u w:val="single"/>
            <w:lang w:val="la-Latn"/>
          </w:rPr>
          <w:t>Ministarstvo vanjskih i europskih poslova RH - Najave</w:t>
        </w:r>
      </w:hyperlink>
    </w:p>
    <w:p w14:paraId="32BEDD07" w14:textId="5F321382" w:rsidR="0030013A" w:rsidRDefault="0030013A" w:rsidP="007645E3">
      <w:pPr>
        <w:suppressAutoHyphens w:val="0"/>
        <w:spacing w:line="276" w:lineRule="auto"/>
        <w:contextualSpacing/>
        <w:rPr>
          <w:rFonts w:eastAsia="Arial"/>
          <w:color w:val="0000FF"/>
          <w:sz w:val="24"/>
          <w:szCs w:val="24"/>
          <w:u w:val="single"/>
          <w:lang w:val="la-Latn"/>
        </w:rPr>
      </w:pPr>
    </w:p>
    <w:p w14:paraId="1F234463" w14:textId="77777777" w:rsidR="0030013A" w:rsidRPr="0015650F" w:rsidRDefault="0030013A" w:rsidP="007645E3">
      <w:pPr>
        <w:suppressAutoHyphens w:val="0"/>
        <w:spacing w:line="276" w:lineRule="auto"/>
        <w:contextualSpacing/>
        <w:rPr>
          <w:rFonts w:eastAsia="Arial"/>
          <w:color w:val="0000FF"/>
          <w:sz w:val="24"/>
          <w:szCs w:val="24"/>
          <w:u w:val="single"/>
          <w:lang w:val="la-Latn"/>
        </w:rPr>
      </w:pPr>
    </w:p>
    <w:p w14:paraId="4D39C6F5" w14:textId="77777777" w:rsidR="007645E3" w:rsidRPr="007645E3" w:rsidRDefault="007645E3" w:rsidP="007645E3">
      <w:pPr>
        <w:suppressAutoHyphens w:val="0"/>
        <w:spacing w:after="0" w:line="276" w:lineRule="auto"/>
        <w:ind w:left="360"/>
        <w:contextualSpacing/>
      </w:pPr>
    </w:p>
    <w:p w14:paraId="3C9293C0" w14:textId="77777777" w:rsidR="007645E3" w:rsidRPr="007645E3" w:rsidRDefault="007645E3" w:rsidP="007645E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CC2E5" w:themeFill="accent1" w:themeFillTint="99"/>
        <w:spacing w:line="276" w:lineRule="auto"/>
        <w:jc w:val="center"/>
        <w:rPr>
          <w:rFonts w:eastAsia="Arial"/>
          <w:b/>
          <w:sz w:val="24"/>
          <w:szCs w:val="24"/>
          <w:lang w:val="la-Latn"/>
        </w:rPr>
      </w:pPr>
      <w:r w:rsidRPr="007645E3">
        <w:rPr>
          <w:rFonts w:eastAsia="Arial"/>
          <w:b/>
          <w:sz w:val="24"/>
          <w:szCs w:val="24"/>
          <w:lang w:val="la-Latn"/>
        </w:rPr>
        <w:lastRenderedPageBreak/>
        <w:t>Posebne napomene</w:t>
      </w:r>
    </w:p>
    <w:p w14:paraId="5E3AF20F" w14:textId="77777777" w:rsidR="007645E3" w:rsidRPr="007645E3" w:rsidRDefault="007645E3" w:rsidP="007645E3">
      <w:pPr>
        <w:spacing w:line="276" w:lineRule="auto"/>
        <w:contextualSpacing/>
        <w:rPr>
          <w:sz w:val="24"/>
          <w:szCs w:val="24"/>
          <w:lang w:val="la-Latn"/>
        </w:rPr>
      </w:pPr>
      <w:r w:rsidRPr="007645E3">
        <w:rPr>
          <w:rFonts w:eastAsia="Arial"/>
          <w:sz w:val="24"/>
          <w:szCs w:val="24"/>
          <w:lang w:val="la-Latn"/>
        </w:rPr>
        <w:t xml:space="preserve">Gospodarska diplomacija: </w:t>
      </w:r>
      <w:hyperlink r:id="rId9" w:history="1">
        <w:r w:rsidRPr="007645E3">
          <w:rPr>
            <w:rFonts w:eastAsia="Arial"/>
            <w:color w:val="0000FF"/>
            <w:sz w:val="24"/>
            <w:szCs w:val="24"/>
            <w:u w:val="single"/>
            <w:lang w:val="la-Latn"/>
          </w:rPr>
          <w:t>Ministarstvo vanjskih i europskih poslova RH - O gospodarskoj diplomaciji</w:t>
        </w:r>
      </w:hyperlink>
    </w:p>
    <w:p w14:paraId="166503F7" w14:textId="77777777" w:rsidR="007645E3" w:rsidRPr="007645E3" w:rsidRDefault="007645E3" w:rsidP="007645E3">
      <w:pPr>
        <w:spacing w:line="276" w:lineRule="auto"/>
        <w:contextualSpacing/>
        <w:rPr>
          <w:rFonts w:eastAsia="Arial"/>
          <w:sz w:val="24"/>
          <w:szCs w:val="24"/>
          <w:lang w:val="la-Latn"/>
        </w:rPr>
      </w:pPr>
      <w:r w:rsidRPr="007645E3">
        <w:rPr>
          <w:rFonts w:eastAsia="Arial"/>
          <w:sz w:val="24"/>
          <w:szCs w:val="24"/>
          <w:lang w:val="la-Latn"/>
        </w:rPr>
        <w:t xml:space="preserve">Zahtjev za podršku izvozniku: </w:t>
      </w:r>
      <w:hyperlink r:id="rId10" w:history="1">
        <w:r w:rsidRPr="007645E3">
          <w:rPr>
            <w:rFonts w:eastAsia="Arial"/>
            <w:color w:val="0000FF"/>
            <w:sz w:val="24"/>
            <w:szCs w:val="24"/>
            <w:u w:val="single"/>
          </w:rPr>
          <w:t>Ministarstvo vanjskih i europskih poslova RH - Zahtjev za podršku izvozniku</w:t>
        </w:r>
      </w:hyperlink>
    </w:p>
    <w:p w14:paraId="3C55DE64" w14:textId="77777777" w:rsidR="007645E3" w:rsidRPr="007645E3" w:rsidRDefault="007645E3" w:rsidP="007645E3">
      <w:pPr>
        <w:spacing w:line="276" w:lineRule="auto"/>
        <w:contextualSpacing/>
        <w:rPr>
          <w:rFonts w:eastAsia="Arial"/>
        </w:rPr>
      </w:pPr>
      <w:r w:rsidRPr="007645E3">
        <w:rPr>
          <w:rFonts w:eastAsia="Arial"/>
          <w:sz w:val="24"/>
          <w:szCs w:val="24"/>
        </w:rPr>
        <w:t xml:space="preserve">Izvozni portal:  </w:t>
      </w:r>
      <w:hyperlink r:id="rId11" w:history="1">
        <w:r w:rsidRPr="007645E3">
          <w:rPr>
            <w:rFonts w:eastAsia="Arial"/>
            <w:color w:val="0000FF"/>
            <w:sz w:val="24"/>
            <w:szCs w:val="24"/>
            <w:u w:val="single"/>
          </w:rPr>
          <w:t>https://izvoz.gov.hr/</w:t>
        </w:r>
      </w:hyperlink>
      <w:r w:rsidRPr="007645E3">
        <w:rPr>
          <w:rFonts w:eastAsia="Arial"/>
          <w:color w:val="0000FF"/>
          <w:u w:val="single"/>
        </w:rPr>
        <w:t xml:space="preserve"> </w:t>
      </w:r>
    </w:p>
    <w:p w14:paraId="07A27E4F" w14:textId="592EB2AB" w:rsidR="00E9124D" w:rsidRPr="00C139AB" w:rsidRDefault="007645E3" w:rsidP="007645E3">
      <w:pPr>
        <w:spacing w:line="276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645E3">
        <w:rPr>
          <w:rFonts w:eastAsia="Arial"/>
          <w:sz w:val="24"/>
          <w:szCs w:val="24"/>
        </w:rPr>
        <w:t xml:space="preserve">Access2Market portal EK: </w:t>
      </w:r>
      <w:hyperlink r:id="rId12" w:history="1">
        <w:r w:rsidRPr="007645E3">
          <w:rPr>
            <w:rFonts w:eastAsia="Arial"/>
            <w:color w:val="0000FF"/>
            <w:sz w:val="24"/>
            <w:szCs w:val="24"/>
            <w:u w:val="single"/>
          </w:rPr>
          <w:t>https://trade.ec.europa.eu/access-to-markets/hr/home</w:t>
        </w:r>
      </w:hyperlink>
      <w:r w:rsidRPr="007645E3">
        <w:rPr>
          <w:rFonts w:eastAsia="Arial"/>
          <w:color w:val="0000FF"/>
          <w:sz w:val="24"/>
          <w:szCs w:val="24"/>
          <w:u w:val="single"/>
        </w:rPr>
        <w:t xml:space="preserve"> </w:t>
      </w:r>
    </w:p>
    <w:sectPr w:rsidR="00E9124D" w:rsidRPr="00C139AB" w:rsidSect="00311261">
      <w:footerReference w:type="default" r:id="rId13"/>
      <w:pgSz w:w="11906" w:h="16838"/>
      <w:pgMar w:top="1134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7073A" w14:textId="77777777" w:rsidR="00FB75E5" w:rsidRDefault="00FB75E5" w:rsidP="00B91284">
      <w:pPr>
        <w:spacing w:after="0"/>
      </w:pPr>
      <w:r>
        <w:separator/>
      </w:r>
    </w:p>
  </w:endnote>
  <w:endnote w:type="continuationSeparator" w:id="0">
    <w:p w14:paraId="2626D16C" w14:textId="77777777" w:rsidR="00FB75E5" w:rsidRDefault="00FB75E5" w:rsidP="00B912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MS Gothic"/>
    <w:charset w:val="8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07C41" w14:textId="77777777" w:rsidR="00B91284" w:rsidRDefault="00B91284" w:rsidP="00B91284"/>
  <w:p w14:paraId="1E6B99F0" w14:textId="40D23E96" w:rsidR="00B91284" w:rsidRDefault="00B91284" w:rsidP="00B91284">
    <w:pPr>
      <w:pStyle w:val="IFooter"/>
    </w:pPr>
    <w:r>
      <w:t xml:space="preserve">Ažurirano: Zagreb, </w:t>
    </w:r>
    <w:r>
      <w:fldChar w:fldCharType="begin"/>
    </w:r>
    <w:r>
      <w:instrText xml:space="preserve"> DATE  \@ "d.M.yyyy." </w:instrText>
    </w:r>
    <w:r>
      <w:fldChar w:fldCharType="separate"/>
    </w:r>
    <w:r w:rsidR="0030013A">
      <w:rPr>
        <w:noProof/>
      </w:rPr>
      <w:t>13.2.2026.</w:t>
    </w:r>
    <w:r>
      <w:fldChar w:fldCharType="end"/>
    </w:r>
    <w:r>
      <w:tab/>
      <w:t>GOSPODARSKA INFORMACIJA</w:t>
    </w:r>
    <w:r>
      <w:tab/>
    </w:r>
    <w:r>
      <w:fldChar w:fldCharType="begin"/>
    </w:r>
    <w:r>
      <w:instrText xml:space="preserve"> PAGE </w:instrText>
    </w:r>
    <w:r>
      <w:fldChar w:fldCharType="separate"/>
    </w:r>
    <w:r w:rsidR="0040458A">
      <w:rPr>
        <w:noProof/>
      </w:rPr>
      <w:t>3</w:t>
    </w:r>
    <w:r>
      <w:fldChar w:fldCharType="end"/>
    </w:r>
  </w:p>
  <w:p w14:paraId="20FD5B3D" w14:textId="77777777" w:rsidR="00B91284" w:rsidRDefault="00B912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95445" w14:textId="77777777" w:rsidR="00FB75E5" w:rsidRDefault="00FB75E5" w:rsidP="00B91284">
      <w:pPr>
        <w:spacing w:after="0"/>
      </w:pPr>
      <w:r>
        <w:separator/>
      </w:r>
    </w:p>
  </w:footnote>
  <w:footnote w:type="continuationSeparator" w:id="0">
    <w:p w14:paraId="44C8499E" w14:textId="77777777" w:rsidR="00FB75E5" w:rsidRDefault="00FB75E5" w:rsidP="00B9128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IBul1"/>
      <w:lvlText w:val="-"/>
      <w:lvlJc w:val="left"/>
      <w:pPr>
        <w:tabs>
          <w:tab w:val="num" w:pos="738"/>
        </w:tabs>
        <w:ind w:left="738" w:hanging="738"/>
      </w:pPr>
      <w:rPr>
        <w:rFonts w:ascii="StarSymbol" w:hAnsi="StarSymbol" w:cs="Symbol"/>
      </w:r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 w15:restartNumberingAfterBreak="0">
    <w:nsid w:val="6F974BD3"/>
    <w:multiLevelType w:val="multilevel"/>
    <w:tmpl w:val="31FE4DEE"/>
    <w:lvl w:ilvl="0">
      <w:start w:val="1"/>
      <w:numFmt w:val="decimal"/>
      <w:pStyle w:val="IPodnaslov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B8F7A1C"/>
    <w:multiLevelType w:val="hybridMultilevel"/>
    <w:tmpl w:val="6274509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D7A"/>
    <w:rsid w:val="00005EB1"/>
    <w:rsid w:val="00007E71"/>
    <w:rsid w:val="00032ED6"/>
    <w:rsid w:val="0007488C"/>
    <w:rsid w:val="00087FED"/>
    <w:rsid w:val="00095B7C"/>
    <w:rsid w:val="000B43A0"/>
    <w:rsid w:val="000E1E9B"/>
    <w:rsid w:val="000F51A3"/>
    <w:rsid w:val="000F6272"/>
    <w:rsid w:val="00112D7A"/>
    <w:rsid w:val="00125ABA"/>
    <w:rsid w:val="00142551"/>
    <w:rsid w:val="00143F13"/>
    <w:rsid w:val="0015650F"/>
    <w:rsid w:val="001614A1"/>
    <w:rsid w:val="00185B81"/>
    <w:rsid w:val="001900FE"/>
    <w:rsid w:val="00191EBB"/>
    <w:rsid w:val="001A3501"/>
    <w:rsid w:val="001B3A7F"/>
    <w:rsid w:val="001C20B6"/>
    <w:rsid w:val="001F2021"/>
    <w:rsid w:val="001F38D8"/>
    <w:rsid w:val="00215057"/>
    <w:rsid w:val="00215502"/>
    <w:rsid w:val="002305F3"/>
    <w:rsid w:val="0023434F"/>
    <w:rsid w:val="0023486F"/>
    <w:rsid w:val="002455B9"/>
    <w:rsid w:val="0025301D"/>
    <w:rsid w:val="00271FC0"/>
    <w:rsid w:val="002A2422"/>
    <w:rsid w:val="002F10E2"/>
    <w:rsid w:val="0030013A"/>
    <w:rsid w:val="00300F35"/>
    <w:rsid w:val="003052D2"/>
    <w:rsid w:val="0030565C"/>
    <w:rsid w:val="00307DCF"/>
    <w:rsid w:val="00311261"/>
    <w:rsid w:val="00333C56"/>
    <w:rsid w:val="003430EC"/>
    <w:rsid w:val="00346BFE"/>
    <w:rsid w:val="00350E8E"/>
    <w:rsid w:val="00352897"/>
    <w:rsid w:val="00354B0C"/>
    <w:rsid w:val="0037475D"/>
    <w:rsid w:val="003865EE"/>
    <w:rsid w:val="003905C5"/>
    <w:rsid w:val="003A48BA"/>
    <w:rsid w:val="003B7264"/>
    <w:rsid w:val="003E2A64"/>
    <w:rsid w:val="003E50ED"/>
    <w:rsid w:val="003F230B"/>
    <w:rsid w:val="004016C0"/>
    <w:rsid w:val="0040458A"/>
    <w:rsid w:val="00414273"/>
    <w:rsid w:val="00420FF4"/>
    <w:rsid w:val="004405B4"/>
    <w:rsid w:val="0045519E"/>
    <w:rsid w:val="00481EEC"/>
    <w:rsid w:val="004A4F0E"/>
    <w:rsid w:val="004A6E1E"/>
    <w:rsid w:val="004C5A0F"/>
    <w:rsid w:val="004E33BC"/>
    <w:rsid w:val="004E5F4C"/>
    <w:rsid w:val="00502834"/>
    <w:rsid w:val="005125DF"/>
    <w:rsid w:val="00514CB9"/>
    <w:rsid w:val="00515DED"/>
    <w:rsid w:val="00516D51"/>
    <w:rsid w:val="00522E32"/>
    <w:rsid w:val="005415FC"/>
    <w:rsid w:val="00545558"/>
    <w:rsid w:val="005476D3"/>
    <w:rsid w:val="00566E30"/>
    <w:rsid w:val="005811A0"/>
    <w:rsid w:val="00583503"/>
    <w:rsid w:val="005A1C82"/>
    <w:rsid w:val="005A7CC4"/>
    <w:rsid w:val="005D7DEA"/>
    <w:rsid w:val="00647045"/>
    <w:rsid w:val="00661EA7"/>
    <w:rsid w:val="006776DA"/>
    <w:rsid w:val="00687BAC"/>
    <w:rsid w:val="006A2D64"/>
    <w:rsid w:val="006A706F"/>
    <w:rsid w:val="006D7922"/>
    <w:rsid w:val="00712A81"/>
    <w:rsid w:val="00720EC7"/>
    <w:rsid w:val="00732AA3"/>
    <w:rsid w:val="007412F9"/>
    <w:rsid w:val="00752231"/>
    <w:rsid w:val="007645E3"/>
    <w:rsid w:val="00772455"/>
    <w:rsid w:val="00786790"/>
    <w:rsid w:val="00787AB3"/>
    <w:rsid w:val="00791C18"/>
    <w:rsid w:val="00791CAE"/>
    <w:rsid w:val="00795490"/>
    <w:rsid w:val="007A55ED"/>
    <w:rsid w:val="007C2EDF"/>
    <w:rsid w:val="007C57D7"/>
    <w:rsid w:val="007E26DC"/>
    <w:rsid w:val="007F45EF"/>
    <w:rsid w:val="008106B2"/>
    <w:rsid w:val="008517CB"/>
    <w:rsid w:val="00855F04"/>
    <w:rsid w:val="00872EEE"/>
    <w:rsid w:val="00877A07"/>
    <w:rsid w:val="008A3CC5"/>
    <w:rsid w:val="008B4550"/>
    <w:rsid w:val="008C08A4"/>
    <w:rsid w:val="008C3671"/>
    <w:rsid w:val="008D4C4E"/>
    <w:rsid w:val="008E7073"/>
    <w:rsid w:val="009762B1"/>
    <w:rsid w:val="009930F8"/>
    <w:rsid w:val="009965C7"/>
    <w:rsid w:val="009A2C49"/>
    <w:rsid w:val="009B22C0"/>
    <w:rsid w:val="009D2514"/>
    <w:rsid w:val="009D364A"/>
    <w:rsid w:val="009F369C"/>
    <w:rsid w:val="00A05FC8"/>
    <w:rsid w:val="00A24123"/>
    <w:rsid w:val="00A254B1"/>
    <w:rsid w:val="00A42463"/>
    <w:rsid w:val="00A648DA"/>
    <w:rsid w:val="00A728F4"/>
    <w:rsid w:val="00A769E8"/>
    <w:rsid w:val="00A87B27"/>
    <w:rsid w:val="00A87EDA"/>
    <w:rsid w:val="00AA112E"/>
    <w:rsid w:val="00AA73DA"/>
    <w:rsid w:val="00AB2450"/>
    <w:rsid w:val="00AC53F6"/>
    <w:rsid w:val="00AD4149"/>
    <w:rsid w:val="00AF2E4A"/>
    <w:rsid w:val="00AF6FD5"/>
    <w:rsid w:val="00B45774"/>
    <w:rsid w:val="00B53B3E"/>
    <w:rsid w:val="00B6581C"/>
    <w:rsid w:val="00B80800"/>
    <w:rsid w:val="00B91284"/>
    <w:rsid w:val="00BB18F0"/>
    <w:rsid w:val="00BF77F0"/>
    <w:rsid w:val="00C07D23"/>
    <w:rsid w:val="00C139AB"/>
    <w:rsid w:val="00C24196"/>
    <w:rsid w:val="00C56902"/>
    <w:rsid w:val="00C90474"/>
    <w:rsid w:val="00CA0810"/>
    <w:rsid w:val="00CB04A4"/>
    <w:rsid w:val="00CB5E04"/>
    <w:rsid w:val="00CD487A"/>
    <w:rsid w:val="00CF31CD"/>
    <w:rsid w:val="00D37156"/>
    <w:rsid w:val="00D4114A"/>
    <w:rsid w:val="00D62D16"/>
    <w:rsid w:val="00D738EE"/>
    <w:rsid w:val="00D86DB3"/>
    <w:rsid w:val="00D94B25"/>
    <w:rsid w:val="00DB21EA"/>
    <w:rsid w:val="00DB4A6C"/>
    <w:rsid w:val="00DB4B81"/>
    <w:rsid w:val="00DC5439"/>
    <w:rsid w:val="00DC7B38"/>
    <w:rsid w:val="00DD1355"/>
    <w:rsid w:val="00DE67AD"/>
    <w:rsid w:val="00DF55D2"/>
    <w:rsid w:val="00E02FD1"/>
    <w:rsid w:val="00E27BDF"/>
    <w:rsid w:val="00E31A63"/>
    <w:rsid w:val="00E47156"/>
    <w:rsid w:val="00E55854"/>
    <w:rsid w:val="00E71F3E"/>
    <w:rsid w:val="00E9124D"/>
    <w:rsid w:val="00EA5E01"/>
    <w:rsid w:val="00EB6513"/>
    <w:rsid w:val="00ED5F0D"/>
    <w:rsid w:val="00F06BF0"/>
    <w:rsid w:val="00F12590"/>
    <w:rsid w:val="00F12AAC"/>
    <w:rsid w:val="00F213AA"/>
    <w:rsid w:val="00F441F2"/>
    <w:rsid w:val="00F86C25"/>
    <w:rsid w:val="00FB75E5"/>
    <w:rsid w:val="00FC2128"/>
    <w:rsid w:val="00FD3E27"/>
    <w:rsid w:val="00FE6499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84647"/>
  <w15:docId w15:val="{BBADD043-EEFA-4A3E-990C-0EBD52CEC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7A"/>
    <w:pPr>
      <w:suppressAutoHyphens/>
      <w:spacing w:after="12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ormal">
    <w:name w:val="INormal"/>
    <w:basedOn w:val="Normal"/>
    <w:link w:val="INormalChar"/>
    <w:rsid w:val="00112D7A"/>
    <w:pPr>
      <w:tabs>
        <w:tab w:val="left" w:pos="2268"/>
      </w:tabs>
    </w:pPr>
    <w:rPr>
      <w:rFonts w:cs="Times New Roman"/>
      <w:lang w:val="x-none"/>
    </w:rPr>
  </w:style>
  <w:style w:type="character" w:customStyle="1" w:styleId="INormalChar">
    <w:name w:val="INormal Char"/>
    <w:link w:val="INormal"/>
    <w:locked/>
    <w:rsid w:val="00112D7A"/>
    <w:rPr>
      <w:rFonts w:ascii="Arial" w:eastAsia="Times New Roman" w:hAnsi="Arial" w:cs="Times New Roman"/>
      <w:sz w:val="20"/>
      <w:szCs w:val="20"/>
      <w:lang w:val="x-none" w:eastAsia="ar-SA"/>
    </w:rPr>
  </w:style>
  <w:style w:type="table" w:styleId="TableGrid">
    <w:name w:val="Table Grid"/>
    <w:basedOn w:val="TableNormal"/>
    <w:uiPriority w:val="39"/>
    <w:rsid w:val="00112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91284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B91284"/>
    <w:rPr>
      <w:rFonts w:ascii="Arial" w:eastAsia="Times New Roman" w:hAnsi="Arial" w:cs="Arial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B91284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B91284"/>
    <w:rPr>
      <w:rFonts w:ascii="Arial" w:eastAsia="Times New Roman" w:hAnsi="Arial" w:cs="Arial"/>
      <w:sz w:val="20"/>
      <w:szCs w:val="20"/>
      <w:lang w:eastAsia="ar-SA"/>
    </w:rPr>
  </w:style>
  <w:style w:type="paragraph" w:customStyle="1" w:styleId="IFooter">
    <w:name w:val="IFooter"/>
    <w:rsid w:val="00B91284"/>
    <w:pPr>
      <w:pBdr>
        <w:top w:val="single" w:sz="18" w:space="1" w:color="000000"/>
      </w:pBd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Arial" w:hAnsi="Arial" w:cs="Arial"/>
      <w:sz w:val="16"/>
      <w:szCs w:val="16"/>
      <w:lang w:eastAsia="ar-SA"/>
    </w:rPr>
  </w:style>
  <w:style w:type="character" w:styleId="Hyperlink">
    <w:name w:val="Hyperlink"/>
    <w:unhideWhenUsed/>
    <w:rsid w:val="00E9124D"/>
    <w:rPr>
      <w:color w:val="0000FF"/>
      <w:u w:val="single"/>
    </w:rPr>
  </w:style>
  <w:style w:type="paragraph" w:customStyle="1" w:styleId="IPodnaslov">
    <w:name w:val="IPodnaslov"/>
    <w:next w:val="INormal"/>
    <w:rsid w:val="00414273"/>
    <w:pPr>
      <w:keepNext/>
      <w:numPr>
        <w:numId w:val="2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hd w:val="clear" w:color="auto" w:fill="E6E6E6"/>
      <w:tabs>
        <w:tab w:val="left" w:pos="284"/>
      </w:tabs>
      <w:suppressAutoHyphens/>
      <w:spacing w:before="240" w:after="120" w:line="240" w:lineRule="auto"/>
    </w:pPr>
    <w:rPr>
      <w:rFonts w:ascii="Arial Narrow" w:eastAsia="Arial" w:hAnsi="Arial Narrow" w:cs="Arial Narrow"/>
      <w:b/>
      <w:bCs/>
      <w:sz w:val="32"/>
      <w:szCs w:val="32"/>
      <w:lang w:eastAsia="ar-SA"/>
    </w:rPr>
  </w:style>
  <w:style w:type="character" w:customStyle="1" w:styleId="categorydata2">
    <w:name w:val="category_data2"/>
    <w:rsid w:val="00414273"/>
    <w:rPr>
      <w:rFonts w:ascii="Arial" w:hAnsi="Arial" w:cs="Arial" w:hint="default"/>
      <w:color w:val="707070"/>
      <w:spacing w:val="15"/>
      <w:sz w:val="17"/>
      <w:szCs w:val="17"/>
    </w:rPr>
  </w:style>
  <w:style w:type="paragraph" w:styleId="ListParagraph">
    <w:name w:val="List Paragraph"/>
    <w:basedOn w:val="Normal"/>
    <w:uiPriority w:val="34"/>
    <w:qFormat/>
    <w:rsid w:val="005D7DEA"/>
    <w:pPr>
      <w:ind w:left="720"/>
      <w:contextualSpacing/>
    </w:pPr>
  </w:style>
  <w:style w:type="paragraph" w:customStyle="1" w:styleId="IBul1">
    <w:name w:val="IBul1"/>
    <w:rsid w:val="0023486F"/>
    <w:pPr>
      <w:numPr>
        <w:numId w:val="4"/>
      </w:numPr>
      <w:suppressAutoHyphens/>
      <w:spacing w:after="60" w:line="240" w:lineRule="auto"/>
      <w:ind w:left="0" w:firstLine="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55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55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vep.gov.hr/najave-225663/225663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mvep.gov.hr/o-hrvatskom-izvozu/izvozne-prilike/244678" TargetMode="External"/><Relationship Id="rId12" Type="http://schemas.openxmlformats.org/officeDocument/2006/relationships/hyperlink" Target="https://trade.ec.europa.eu/access-to-markets/hr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zvoz.gov.hr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mvep.gov.hr/o-hrvatskom-izvozu/zahtjev-za-podrsku-izvozniku/24465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vep.gov.hr/o-gospodarskoj-diplomaciji/225656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689</Words>
  <Characters>3931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MVEP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Adrian Vukojević</cp:lastModifiedBy>
  <cp:revision>17</cp:revision>
  <cp:lastPrinted>2021-07-08T09:10:00Z</cp:lastPrinted>
  <dcterms:created xsi:type="dcterms:W3CDTF">2026-01-27T09:13:00Z</dcterms:created>
  <dcterms:modified xsi:type="dcterms:W3CDTF">2026-02-13T09:46:00Z</dcterms:modified>
</cp:coreProperties>
</file>